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EF4BC" w14:textId="77777777" w:rsidR="00507F68" w:rsidRPr="00FA4B87" w:rsidRDefault="00507F68" w:rsidP="00507F68">
      <w:pPr>
        <w:rPr>
          <w:rFonts w:ascii="Verdana" w:hAnsi="Verdana"/>
          <w:sz w:val="20"/>
          <w:szCs w:val="20"/>
        </w:rPr>
      </w:pPr>
    </w:p>
    <w:p w14:paraId="2A5FAF28" w14:textId="77777777" w:rsidR="00507F68" w:rsidRPr="00FA4B87" w:rsidRDefault="00507F68" w:rsidP="00507F68">
      <w:pPr>
        <w:jc w:val="center"/>
        <w:rPr>
          <w:rFonts w:ascii="Verdana" w:hAnsi="Verdana"/>
          <w:b/>
          <w:sz w:val="20"/>
          <w:szCs w:val="20"/>
        </w:rPr>
      </w:pPr>
      <w:r>
        <w:rPr>
          <w:rFonts w:ascii="Verdana" w:hAnsi="Verdana"/>
          <w:b/>
          <w:sz w:val="20"/>
          <w:szCs w:val="20"/>
        </w:rPr>
        <w:t xml:space="preserve">Draft </w:t>
      </w:r>
      <w:r w:rsidRPr="00FA4B87">
        <w:rPr>
          <w:rFonts w:ascii="Verdana" w:hAnsi="Verdana"/>
          <w:b/>
          <w:sz w:val="20"/>
          <w:szCs w:val="20"/>
        </w:rPr>
        <w:t>Irish Green Building Council Submission</w:t>
      </w:r>
    </w:p>
    <w:p w14:paraId="33CF69B9" w14:textId="77777777" w:rsidR="00507F68" w:rsidRDefault="00507F68" w:rsidP="00507F68">
      <w:pPr>
        <w:jc w:val="center"/>
        <w:rPr>
          <w:rFonts w:ascii="Verdana" w:hAnsi="Verdana"/>
          <w:b/>
          <w:sz w:val="20"/>
          <w:szCs w:val="20"/>
        </w:rPr>
      </w:pPr>
      <w:r w:rsidRPr="00686CEE">
        <w:rPr>
          <w:rFonts w:ascii="Verdana" w:hAnsi="Verdana"/>
          <w:b/>
          <w:sz w:val="20"/>
          <w:szCs w:val="20"/>
        </w:rPr>
        <w:t>DRAFT ‘Urban Development and Building Heights Guidelines for Planning Authorities’</w:t>
      </w:r>
    </w:p>
    <w:p w14:paraId="3717B008" w14:textId="77777777" w:rsidR="00507F68" w:rsidRDefault="00507F68" w:rsidP="00507F68">
      <w:pPr>
        <w:jc w:val="center"/>
        <w:rPr>
          <w:rFonts w:ascii="Verdana" w:hAnsi="Verdana"/>
          <w:b/>
          <w:sz w:val="20"/>
          <w:szCs w:val="20"/>
        </w:rPr>
      </w:pPr>
    </w:p>
    <w:p w14:paraId="22C8E3DF" w14:textId="77777777" w:rsidR="00507F68" w:rsidRDefault="00507F68" w:rsidP="00507F68">
      <w:pPr>
        <w:rPr>
          <w:rFonts w:ascii="Verdana" w:hAnsi="Verdana"/>
          <w:b/>
          <w:sz w:val="20"/>
          <w:szCs w:val="20"/>
        </w:rPr>
      </w:pPr>
      <w:r>
        <w:rPr>
          <w:rFonts w:ascii="Verdana" w:hAnsi="Verdana"/>
          <w:b/>
          <w:sz w:val="20"/>
          <w:szCs w:val="20"/>
        </w:rPr>
        <w:t>September</w:t>
      </w:r>
      <w:r w:rsidRPr="00FA4B87">
        <w:rPr>
          <w:rFonts w:ascii="Verdana" w:hAnsi="Verdana"/>
          <w:b/>
          <w:sz w:val="20"/>
          <w:szCs w:val="20"/>
        </w:rPr>
        <w:t xml:space="preserve"> 2018</w:t>
      </w:r>
    </w:p>
    <w:p w14:paraId="0FDAA7FF" w14:textId="77777777" w:rsidR="00507F68" w:rsidRDefault="00507F68" w:rsidP="00507F68">
      <w:pPr>
        <w:rPr>
          <w:rFonts w:ascii="Verdana" w:hAnsi="Verdana" w:cs="Calibri"/>
          <w:sz w:val="20"/>
          <w:szCs w:val="20"/>
        </w:rPr>
      </w:pPr>
      <w:r w:rsidRPr="00FA4B87">
        <w:rPr>
          <w:rFonts w:ascii="Verdana" w:hAnsi="Verdana"/>
          <w:sz w:val="20"/>
          <w:szCs w:val="20"/>
        </w:rPr>
        <w:t xml:space="preserve">The following document is the Irish Green Building Council’s (IGBC) response to the Department of Housing, Planning, Community and Local Government on the </w:t>
      </w:r>
      <w:r>
        <w:rPr>
          <w:rFonts w:ascii="Verdana" w:hAnsi="Verdana"/>
          <w:sz w:val="20"/>
          <w:szCs w:val="20"/>
        </w:rPr>
        <w:t>draft</w:t>
      </w:r>
      <w:r w:rsidRPr="00686CEE">
        <w:rPr>
          <w:rFonts w:ascii="Verdana" w:hAnsi="Verdana"/>
          <w:sz w:val="20"/>
          <w:szCs w:val="20"/>
        </w:rPr>
        <w:t xml:space="preserve"> ‘Urban Development and Building Heights Guidelines for Planning Authorities’</w:t>
      </w:r>
      <w:r w:rsidRPr="00FA4B87">
        <w:rPr>
          <w:rFonts w:ascii="Verdana" w:hAnsi="Verdana"/>
          <w:sz w:val="20"/>
          <w:szCs w:val="20"/>
        </w:rPr>
        <w:t>.</w:t>
      </w:r>
      <w:r>
        <w:rPr>
          <w:rFonts w:ascii="Verdana" w:hAnsi="Verdana" w:cs="Calibri"/>
          <w:sz w:val="20"/>
          <w:szCs w:val="20"/>
        </w:rPr>
        <w:t xml:space="preserve"> </w:t>
      </w:r>
    </w:p>
    <w:p w14:paraId="526BAE23" w14:textId="77777777" w:rsidR="00507F68" w:rsidRPr="00FA4B87" w:rsidRDefault="00507F68" w:rsidP="00507F68">
      <w:pPr>
        <w:rPr>
          <w:rFonts w:ascii="Verdana" w:hAnsi="Verdana"/>
          <w:b/>
          <w:sz w:val="20"/>
          <w:szCs w:val="20"/>
        </w:rPr>
      </w:pPr>
      <w:r>
        <w:rPr>
          <w:rFonts w:ascii="Verdana" w:hAnsi="Verdana"/>
          <w:b/>
          <w:sz w:val="20"/>
          <w:szCs w:val="20"/>
        </w:rPr>
        <w:t>Introduction</w:t>
      </w:r>
    </w:p>
    <w:p w14:paraId="08046004" w14:textId="77777777" w:rsidR="00507F68" w:rsidRPr="00FA4B87" w:rsidRDefault="00507F68" w:rsidP="00507F68">
      <w:pPr>
        <w:rPr>
          <w:rFonts w:ascii="Verdana" w:hAnsi="Verdana"/>
          <w:sz w:val="20"/>
          <w:szCs w:val="20"/>
        </w:rPr>
      </w:pPr>
      <w:r w:rsidRPr="00FA4B87">
        <w:rPr>
          <w:rFonts w:ascii="Verdana" w:hAnsi="Verdana"/>
          <w:sz w:val="20"/>
          <w:szCs w:val="20"/>
        </w:rPr>
        <w:t xml:space="preserve">The IGBC was launched in 2011 and is comprised of </w:t>
      </w:r>
      <w:r>
        <w:rPr>
          <w:rFonts w:ascii="Verdana" w:hAnsi="Verdana"/>
          <w:sz w:val="20"/>
          <w:szCs w:val="20"/>
        </w:rPr>
        <w:t xml:space="preserve">over 120 </w:t>
      </w:r>
      <w:r w:rsidRPr="00FA4B87">
        <w:rPr>
          <w:rFonts w:ascii="Verdana" w:hAnsi="Verdana"/>
          <w:sz w:val="20"/>
          <w:szCs w:val="20"/>
        </w:rPr>
        <w:t>organisations and businesses from the entire value chain of the built environment</w:t>
      </w:r>
      <w:r>
        <w:rPr>
          <w:rFonts w:ascii="Verdana" w:hAnsi="Verdana"/>
          <w:sz w:val="20"/>
          <w:szCs w:val="20"/>
        </w:rPr>
        <w:t xml:space="preserve"> on both the demand and supply sides</w:t>
      </w:r>
      <w:r w:rsidRPr="00FA4B87">
        <w:rPr>
          <w:rFonts w:ascii="Verdana" w:hAnsi="Verdana"/>
          <w:sz w:val="20"/>
          <w:szCs w:val="20"/>
        </w:rPr>
        <w:t>. These include educational institutions, professional institutes, NGOs, local authorities, contractors, architects, engineers, energy companies,</w:t>
      </w:r>
      <w:r>
        <w:rPr>
          <w:rFonts w:ascii="Verdana" w:hAnsi="Verdana"/>
          <w:sz w:val="20"/>
          <w:szCs w:val="20"/>
        </w:rPr>
        <w:t xml:space="preserve"> property investors/developers</w:t>
      </w:r>
      <w:r w:rsidRPr="00FA4B87">
        <w:rPr>
          <w:rFonts w:ascii="Verdana" w:hAnsi="Verdana"/>
          <w:sz w:val="20"/>
          <w:szCs w:val="20"/>
        </w:rPr>
        <w:t xml:space="preserve"> as well as leading national and transnational companies. A full list of IGBC members is </w:t>
      </w:r>
      <w:hyperlink r:id="rId7" w:history="1">
        <w:r w:rsidRPr="00FA4B87">
          <w:rPr>
            <w:rStyle w:val="Hyperlink"/>
            <w:rFonts w:ascii="Verdana" w:hAnsi="Verdana"/>
            <w:sz w:val="20"/>
            <w:szCs w:val="20"/>
          </w:rPr>
          <w:t>available here</w:t>
        </w:r>
      </w:hyperlink>
      <w:r w:rsidRPr="00FA4B87">
        <w:rPr>
          <w:rFonts w:ascii="Verdana" w:hAnsi="Verdana"/>
          <w:sz w:val="20"/>
          <w:szCs w:val="20"/>
        </w:rPr>
        <w:t>.</w:t>
      </w:r>
    </w:p>
    <w:p w14:paraId="2AE43120" w14:textId="77777777" w:rsidR="00507F68" w:rsidRPr="00FA4B87" w:rsidRDefault="00507F68" w:rsidP="00507F68">
      <w:pPr>
        <w:rPr>
          <w:rFonts w:ascii="Verdana" w:hAnsi="Verdana"/>
          <w:sz w:val="20"/>
          <w:szCs w:val="20"/>
        </w:rPr>
      </w:pPr>
      <w:r w:rsidRPr="00FA4B87">
        <w:rPr>
          <w:rFonts w:ascii="Verdana" w:hAnsi="Verdana"/>
          <w:sz w:val="20"/>
          <w:szCs w:val="20"/>
        </w:rPr>
        <w:t>The Objectives of the Council are to:</w:t>
      </w:r>
    </w:p>
    <w:p w14:paraId="0F3D70E5" w14:textId="77777777" w:rsidR="00507F68" w:rsidRPr="00FA4B87" w:rsidRDefault="00507F68" w:rsidP="00507F68">
      <w:pPr>
        <w:pStyle w:val="ListParagraph"/>
        <w:numPr>
          <w:ilvl w:val="0"/>
          <w:numId w:val="1"/>
        </w:numPr>
        <w:rPr>
          <w:rFonts w:ascii="Verdana" w:hAnsi="Verdana"/>
          <w:sz w:val="20"/>
          <w:szCs w:val="20"/>
        </w:rPr>
      </w:pPr>
      <w:r w:rsidRPr="00FA4B87">
        <w:rPr>
          <w:rFonts w:ascii="Verdana" w:hAnsi="Verdana"/>
          <w:sz w:val="20"/>
          <w:szCs w:val="20"/>
        </w:rPr>
        <w:t>Provide a source of leadership for sustainability and quality in the built environment</w:t>
      </w:r>
    </w:p>
    <w:p w14:paraId="4320B39E" w14:textId="77777777" w:rsidR="00507F68" w:rsidRPr="00FA4B87" w:rsidRDefault="00507F68" w:rsidP="00507F68">
      <w:pPr>
        <w:pStyle w:val="ListParagraph"/>
        <w:numPr>
          <w:ilvl w:val="0"/>
          <w:numId w:val="1"/>
        </w:numPr>
        <w:rPr>
          <w:rFonts w:ascii="Verdana" w:hAnsi="Verdana"/>
          <w:sz w:val="20"/>
          <w:szCs w:val="20"/>
        </w:rPr>
      </w:pPr>
      <w:r w:rsidRPr="00FA4B87">
        <w:rPr>
          <w:rFonts w:ascii="Verdana" w:hAnsi="Verdana"/>
          <w:sz w:val="20"/>
          <w:szCs w:val="20"/>
        </w:rPr>
        <w:t>Promote and assist in the provision of credible metrics for measuring progress towards the end goal of sustainability</w:t>
      </w:r>
    </w:p>
    <w:p w14:paraId="5897979A" w14:textId="77777777" w:rsidR="00507F68" w:rsidRPr="00FA4B87" w:rsidRDefault="00507F68" w:rsidP="00507F68">
      <w:pPr>
        <w:pStyle w:val="ListParagraph"/>
        <w:numPr>
          <w:ilvl w:val="0"/>
          <w:numId w:val="1"/>
        </w:numPr>
        <w:rPr>
          <w:rFonts w:ascii="Verdana" w:hAnsi="Verdana"/>
          <w:sz w:val="20"/>
          <w:szCs w:val="20"/>
        </w:rPr>
      </w:pPr>
      <w:r w:rsidRPr="00FA4B87">
        <w:rPr>
          <w:rFonts w:ascii="Verdana" w:hAnsi="Verdana"/>
          <w:sz w:val="20"/>
          <w:szCs w:val="20"/>
        </w:rPr>
        <w:t>Provide a source of resources to organisations transitioning their activities towards more sustainable practices</w:t>
      </w:r>
    </w:p>
    <w:p w14:paraId="4A9FDBAA" w14:textId="77777777" w:rsidR="00507F68" w:rsidRPr="00FA4B87" w:rsidRDefault="00507F68" w:rsidP="00507F68">
      <w:pPr>
        <w:pStyle w:val="ListParagraph"/>
        <w:numPr>
          <w:ilvl w:val="0"/>
          <w:numId w:val="1"/>
        </w:numPr>
        <w:rPr>
          <w:rFonts w:ascii="Verdana" w:hAnsi="Verdana"/>
          <w:sz w:val="20"/>
          <w:szCs w:val="20"/>
        </w:rPr>
      </w:pPr>
      <w:r w:rsidRPr="00FA4B87">
        <w:rPr>
          <w:rFonts w:ascii="Verdana" w:hAnsi="Verdana"/>
          <w:sz w:val="20"/>
          <w:szCs w:val="20"/>
        </w:rPr>
        <w:t>Be central to alignment of the policies of organisations seeking to achieve sustainability in the built environment</w:t>
      </w:r>
    </w:p>
    <w:p w14:paraId="71BAF819" w14:textId="77777777" w:rsidR="00507F68" w:rsidRPr="00FA4B87" w:rsidRDefault="00507F68" w:rsidP="00507F68">
      <w:pPr>
        <w:rPr>
          <w:rFonts w:ascii="Verdana" w:hAnsi="Verdana"/>
          <w:sz w:val="20"/>
          <w:szCs w:val="20"/>
        </w:rPr>
      </w:pPr>
      <w:r w:rsidRPr="00FA4B87">
        <w:rPr>
          <w:rFonts w:ascii="Verdana" w:hAnsi="Verdana"/>
          <w:sz w:val="20"/>
          <w:szCs w:val="20"/>
        </w:rPr>
        <w:t xml:space="preserve">In 2016, the IGBC built a community of close to 200 key stakeholders to co-design an ambitious National Renovation Strategy (NRS) for Ireland. This work completed as part of </w:t>
      </w:r>
      <w:hyperlink r:id="rId8" w:history="1">
        <w:r w:rsidRPr="00FA4B87">
          <w:rPr>
            <w:rStyle w:val="Hyperlink"/>
            <w:rFonts w:ascii="Verdana" w:hAnsi="Verdana"/>
            <w:sz w:val="20"/>
            <w:szCs w:val="20"/>
          </w:rPr>
          <w:t>Build Upon (H2020 project</w:t>
        </w:r>
      </w:hyperlink>
      <w:r w:rsidRPr="00FA4B87">
        <w:rPr>
          <w:rStyle w:val="Hyperlink"/>
          <w:rFonts w:ascii="Verdana" w:hAnsi="Verdana"/>
          <w:sz w:val="20"/>
          <w:szCs w:val="20"/>
        </w:rPr>
        <w:t>)</w:t>
      </w:r>
      <w:r w:rsidRPr="00FA4B87">
        <w:rPr>
          <w:rFonts w:ascii="Verdana" w:hAnsi="Verdana"/>
          <w:sz w:val="20"/>
          <w:szCs w:val="20"/>
        </w:rPr>
        <w:t xml:space="preserve"> led to the publication of a </w:t>
      </w:r>
      <w:hyperlink r:id="rId9" w:history="1">
        <w:r w:rsidRPr="00FA4B87">
          <w:rPr>
            <w:rStyle w:val="Hyperlink"/>
            <w:rFonts w:ascii="Verdana" w:hAnsi="Verdana"/>
            <w:sz w:val="20"/>
            <w:szCs w:val="20"/>
          </w:rPr>
          <w:t>comprehensive set of recommendations for a better NRS</w:t>
        </w:r>
      </w:hyperlink>
      <w:r w:rsidRPr="00FA4B87">
        <w:rPr>
          <w:rFonts w:ascii="Verdana" w:hAnsi="Verdana"/>
          <w:sz w:val="20"/>
          <w:szCs w:val="20"/>
        </w:rPr>
        <w:t xml:space="preserve">. Since the completion of this project, IGBC has further engaged with key stakeholders to implement some of these recommendations. As part </w:t>
      </w:r>
      <w:hyperlink r:id="rId10" w:history="1">
        <w:r w:rsidRPr="00FA4B87">
          <w:rPr>
            <w:rStyle w:val="Hyperlink"/>
            <w:rFonts w:ascii="Verdana" w:hAnsi="Verdana"/>
            <w:sz w:val="20"/>
            <w:szCs w:val="20"/>
          </w:rPr>
          <w:t xml:space="preserve">EeMAP </w:t>
        </w:r>
        <w:r w:rsidRPr="00FA4B87">
          <w:rPr>
            <w:rFonts w:ascii="Verdana" w:hAnsi="Verdana"/>
            <w:sz w:val="20"/>
            <w:szCs w:val="20"/>
          </w:rPr>
          <w:t>(H2020)</w:t>
        </w:r>
      </w:hyperlink>
      <w:r w:rsidRPr="00FA4B87">
        <w:rPr>
          <w:rFonts w:ascii="Verdana" w:hAnsi="Verdana"/>
          <w:sz w:val="20"/>
          <w:szCs w:val="20"/>
        </w:rPr>
        <w:t xml:space="preserve">, IGBC is working to develop the principles of an energy efficient mortgages for Europe. It has also worked on better incentivising building professionals to upskill in renovation as part of the SEAI funded </w:t>
      </w:r>
      <w:hyperlink r:id="rId11" w:history="1">
        <w:r w:rsidRPr="00FA4B87">
          <w:rPr>
            <w:rStyle w:val="Hyperlink"/>
            <w:rFonts w:ascii="Verdana" w:hAnsi="Verdana"/>
            <w:sz w:val="20"/>
            <w:szCs w:val="20"/>
          </w:rPr>
          <w:t>ECCoPro project</w:t>
        </w:r>
      </w:hyperlink>
      <w:r w:rsidRPr="00FA4B87">
        <w:rPr>
          <w:rFonts w:ascii="Verdana" w:hAnsi="Verdana"/>
          <w:sz w:val="20"/>
          <w:szCs w:val="20"/>
        </w:rPr>
        <w:t xml:space="preserve">. Through the years, our members have repeatedly highlighted the need for better Integration of urban regeneration and retrofit policies – </w:t>
      </w:r>
      <w:hyperlink r:id="rId12" w:history="1">
        <w:r w:rsidRPr="00FA4B87">
          <w:rPr>
            <w:rStyle w:val="Hyperlink"/>
            <w:rFonts w:ascii="Verdana" w:hAnsi="Verdana"/>
            <w:sz w:val="20"/>
            <w:szCs w:val="20"/>
          </w:rPr>
          <w:t xml:space="preserve">see the open letter recently sent to Ministers Donohoe, </w:t>
        </w:r>
        <w:r>
          <w:rPr>
            <w:rStyle w:val="Hyperlink"/>
            <w:rFonts w:ascii="Verdana" w:hAnsi="Verdana"/>
            <w:sz w:val="20"/>
            <w:szCs w:val="20"/>
          </w:rPr>
          <w:t xml:space="preserve">Murphy and </w:t>
        </w:r>
        <w:r w:rsidRPr="00FA4B87">
          <w:rPr>
            <w:rStyle w:val="Hyperlink"/>
            <w:rFonts w:ascii="Verdana" w:hAnsi="Verdana"/>
            <w:sz w:val="20"/>
            <w:szCs w:val="20"/>
          </w:rPr>
          <w:t>Naughten</w:t>
        </w:r>
      </w:hyperlink>
      <w:r w:rsidRPr="00FA4B87">
        <w:rPr>
          <w:rFonts w:ascii="Verdana" w:hAnsi="Verdana"/>
          <w:sz w:val="20"/>
          <w:szCs w:val="20"/>
        </w:rPr>
        <w:t xml:space="preserve">. </w:t>
      </w:r>
    </w:p>
    <w:p w14:paraId="2CCCD424" w14:textId="77777777" w:rsidR="00507F68" w:rsidRPr="00FA4B87" w:rsidRDefault="00507F68" w:rsidP="00507F68">
      <w:pPr>
        <w:rPr>
          <w:rFonts w:ascii="Verdana" w:hAnsi="Verdana"/>
          <w:sz w:val="20"/>
          <w:szCs w:val="20"/>
        </w:rPr>
      </w:pPr>
      <w:r w:rsidRPr="00FA4B87">
        <w:rPr>
          <w:rFonts w:ascii="Verdana" w:hAnsi="Verdana"/>
          <w:sz w:val="20"/>
          <w:szCs w:val="20"/>
        </w:rPr>
        <w:t xml:space="preserve">After extensive research and consultation with the industry, the IGBC has developed the </w:t>
      </w:r>
      <w:hyperlink r:id="rId13" w:history="1">
        <w:r w:rsidRPr="00FA4B87">
          <w:rPr>
            <w:rStyle w:val="Hyperlink"/>
            <w:rFonts w:ascii="Verdana" w:hAnsi="Verdana"/>
            <w:b/>
            <w:sz w:val="20"/>
            <w:szCs w:val="20"/>
          </w:rPr>
          <w:t>Home Performance Index</w:t>
        </w:r>
      </w:hyperlink>
      <w:r w:rsidRPr="00FA4B87">
        <w:rPr>
          <w:rFonts w:ascii="Verdana" w:hAnsi="Verdana"/>
          <w:sz w:val="20"/>
          <w:szCs w:val="20"/>
        </w:rPr>
        <w:t xml:space="preserve"> label to encourage quality and excellence in residential developments. The Home Performance Index includes 28 indicators that directly or indirectly impact planning, quality of life and our environment.</w:t>
      </w:r>
      <w:r>
        <w:rPr>
          <w:rFonts w:ascii="Verdana" w:hAnsi="Verdana"/>
          <w:sz w:val="20"/>
          <w:szCs w:val="20"/>
        </w:rPr>
        <w:t xml:space="preserve"> These include credits for increased density, use of existing brownfield land, better public transport and measuring the walkability of the surroundings. It recognises trades offs such as the desirability of better use of land versus maximising daylight, encouraging optimisation towards the most sustainable development.</w:t>
      </w:r>
    </w:p>
    <w:p w14:paraId="48F322B3" w14:textId="77777777" w:rsidR="00507F68" w:rsidRPr="00FA4B87" w:rsidRDefault="00507F68" w:rsidP="00507F68">
      <w:pPr>
        <w:rPr>
          <w:rFonts w:ascii="Verdana" w:hAnsi="Verdana"/>
          <w:sz w:val="20"/>
          <w:szCs w:val="20"/>
        </w:rPr>
      </w:pPr>
      <w:r w:rsidRPr="00FA4B87">
        <w:rPr>
          <w:rFonts w:ascii="Verdana" w:hAnsi="Verdana"/>
          <w:sz w:val="20"/>
          <w:szCs w:val="20"/>
        </w:rPr>
        <w:lastRenderedPageBreak/>
        <w:t xml:space="preserve">At international level, IGBC is an established member of the </w:t>
      </w:r>
      <w:hyperlink r:id="rId14" w:history="1">
        <w:r w:rsidRPr="00FA4B87">
          <w:rPr>
            <w:rStyle w:val="Hyperlink"/>
            <w:rFonts w:ascii="Verdana" w:hAnsi="Verdana"/>
            <w:sz w:val="20"/>
            <w:szCs w:val="20"/>
          </w:rPr>
          <w:t>World Green Building Council</w:t>
        </w:r>
      </w:hyperlink>
      <w:r w:rsidRPr="00FA4B87">
        <w:rPr>
          <w:rFonts w:ascii="Verdana" w:hAnsi="Verdana"/>
          <w:sz w:val="20"/>
          <w:szCs w:val="20"/>
        </w:rPr>
        <w:t xml:space="preserve"> and is </w:t>
      </w:r>
      <w:hyperlink r:id="rId15" w:history="1">
        <w:r w:rsidRPr="00FA4B87">
          <w:rPr>
            <w:rStyle w:val="Hyperlink"/>
            <w:rFonts w:ascii="Verdana" w:hAnsi="Verdana"/>
            <w:sz w:val="20"/>
            <w:szCs w:val="20"/>
          </w:rPr>
          <w:t>Renovate Europe national supporting partner in Ireland</w:t>
        </w:r>
      </w:hyperlink>
      <w:r w:rsidRPr="00FA4B87">
        <w:rPr>
          <w:rFonts w:ascii="Verdana" w:hAnsi="Verdana"/>
          <w:sz w:val="20"/>
          <w:szCs w:val="20"/>
        </w:rPr>
        <w:t>.</w:t>
      </w:r>
    </w:p>
    <w:p w14:paraId="3286FAA7" w14:textId="77777777" w:rsidR="00507F68" w:rsidRDefault="00507F68" w:rsidP="00507F68">
      <w:pPr>
        <w:rPr>
          <w:rFonts w:ascii="Verdana" w:hAnsi="Verdana"/>
          <w:sz w:val="20"/>
          <w:szCs w:val="20"/>
        </w:rPr>
      </w:pPr>
      <w:r w:rsidRPr="00FA4B87">
        <w:rPr>
          <w:rFonts w:ascii="Verdana" w:hAnsi="Verdana"/>
          <w:sz w:val="20"/>
          <w:szCs w:val="20"/>
        </w:rPr>
        <w:t>In this submission, the Irish Green Building Council offers general comments on various key areas within its remit of providing leadership in the transition to a sustainable built environment.</w:t>
      </w:r>
      <w:r>
        <w:rPr>
          <w:rFonts w:ascii="Verdana" w:hAnsi="Verdana"/>
          <w:sz w:val="20"/>
          <w:szCs w:val="20"/>
        </w:rPr>
        <w:t xml:space="preserve"> </w:t>
      </w:r>
    </w:p>
    <w:p w14:paraId="7F4AB966" w14:textId="77777777" w:rsidR="00507F68" w:rsidRPr="002D21E3" w:rsidRDefault="00507F68" w:rsidP="00507F68">
      <w:pPr>
        <w:rPr>
          <w:rFonts w:ascii="Verdana" w:hAnsi="Verdana"/>
          <w:b/>
          <w:sz w:val="20"/>
          <w:szCs w:val="20"/>
        </w:rPr>
      </w:pPr>
      <w:r w:rsidRPr="002D21E3">
        <w:rPr>
          <w:rFonts w:ascii="Verdana" w:hAnsi="Verdana"/>
          <w:b/>
          <w:sz w:val="20"/>
          <w:szCs w:val="20"/>
        </w:rPr>
        <w:t>General comments</w:t>
      </w:r>
    </w:p>
    <w:p w14:paraId="70B76AFF" w14:textId="77777777" w:rsidR="00507F68" w:rsidRDefault="00507F68" w:rsidP="00507F68">
      <w:pPr>
        <w:rPr>
          <w:rFonts w:ascii="Verdana" w:hAnsi="Verdana"/>
          <w:sz w:val="20"/>
          <w:szCs w:val="20"/>
        </w:rPr>
      </w:pPr>
      <w:r>
        <w:rPr>
          <w:rFonts w:ascii="Verdana" w:hAnsi="Verdana"/>
          <w:sz w:val="20"/>
          <w:szCs w:val="20"/>
        </w:rPr>
        <w:t xml:space="preserve">IGBC views an increase in density in Irish cities, towns and villages as a critical part of the transition to a sustainable, low carbon built environment. Density is essential to maximise resource use, through better use of infrastructure, to make sustainable transport options viable, reducing embodied carbon emissions, to protect land for biodiversity, minimise soil sealing and  allow for carbon sequestration. In addition, density has positive health impact for people by reducing car dependency and supporting active healthy lives (encouraging walking and cycling). However, the emphasis should be less on height but on density and freeing up unnecessary wastage of land in our metropolitan areas. </w:t>
      </w:r>
    </w:p>
    <w:p w14:paraId="4790BD09" w14:textId="77777777" w:rsidR="00507F68" w:rsidRDefault="00507F68" w:rsidP="00507F68">
      <w:pPr>
        <w:rPr>
          <w:rFonts w:ascii="Verdana" w:hAnsi="Verdana"/>
          <w:sz w:val="20"/>
          <w:szCs w:val="20"/>
        </w:rPr>
      </w:pPr>
      <w:r>
        <w:rPr>
          <w:rFonts w:ascii="Verdana" w:hAnsi="Verdana"/>
          <w:sz w:val="20"/>
          <w:szCs w:val="20"/>
        </w:rPr>
        <w:t>The f</w:t>
      </w:r>
      <w:r w:rsidRPr="00867CB6">
        <w:rPr>
          <w:rFonts w:ascii="Verdana" w:hAnsi="Verdana"/>
          <w:sz w:val="20"/>
          <w:szCs w:val="20"/>
        </w:rPr>
        <w:t>irst question</w:t>
      </w:r>
      <w:r>
        <w:rPr>
          <w:rFonts w:ascii="Verdana" w:hAnsi="Verdana"/>
          <w:sz w:val="20"/>
          <w:szCs w:val="20"/>
        </w:rPr>
        <w:t xml:space="preserve"> that should be answered is what is the purpose of the guidelines and how are these backed up across all departments including fiscal policy to ensure that they happen? Without such backup, these will remain aspirational and developers will choose not to develop in certain areas. Is additional height needed for aesthetic placemaking reasons or to deliver more housing units.</w:t>
      </w:r>
    </w:p>
    <w:p w14:paraId="16B0DA9D" w14:textId="77777777" w:rsidR="00507F68" w:rsidRPr="002D21E3" w:rsidRDefault="00507F68" w:rsidP="00507F68">
      <w:pPr>
        <w:rPr>
          <w:rFonts w:ascii="Verdana" w:hAnsi="Verdana"/>
          <w:b/>
          <w:sz w:val="20"/>
          <w:szCs w:val="20"/>
        </w:rPr>
      </w:pPr>
      <w:r>
        <w:rPr>
          <w:rFonts w:ascii="Verdana" w:hAnsi="Verdana"/>
          <w:b/>
          <w:sz w:val="20"/>
          <w:szCs w:val="20"/>
        </w:rPr>
        <w:t xml:space="preserve">Height, </w:t>
      </w:r>
      <w:r w:rsidRPr="00867CB6">
        <w:rPr>
          <w:rFonts w:ascii="Verdana" w:hAnsi="Verdana"/>
          <w:b/>
          <w:sz w:val="20"/>
          <w:szCs w:val="20"/>
        </w:rPr>
        <w:t>Climate change</w:t>
      </w:r>
      <w:r>
        <w:rPr>
          <w:rFonts w:ascii="Verdana" w:hAnsi="Verdana"/>
          <w:b/>
          <w:sz w:val="20"/>
          <w:szCs w:val="20"/>
        </w:rPr>
        <w:t xml:space="preserve">, resource use and embodied carbon. </w:t>
      </w:r>
    </w:p>
    <w:p w14:paraId="19BF726F" w14:textId="77777777" w:rsidR="00507F68" w:rsidRDefault="00507F68" w:rsidP="00507F68">
      <w:pPr>
        <w:rPr>
          <w:rFonts w:ascii="Verdana" w:hAnsi="Verdana"/>
          <w:sz w:val="20"/>
          <w:szCs w:val="20"/>
        </w:rPr>
      </w:pPr>
      <w:r>
        <w:rPr>
          <w:rFonts w:ascii="Verdana" w:hAnsi="Verdana"/>
          <w:sz w:val="20"/>
          <w:szCs w:val="20"/>
        </w:rPr>
        <w:t xml:space="preserve">Embodied carbon needs to be taken far more seriously than currently and needs to be part of Ireland 2040 planning framework and climate mitigation strategy. </w:t>
      </w:r>
    </w:p>
    <w:p w14:paraId="6095C50B" w14:textId="77777777" w:rsidR="00507F68" w:rsidRDefault="00507F68" w:rsidP="00507F68">
      <w:pPr>
        <w:rPr>
          <w:rFonts w:ascii="Verdana" w:hAnsi="Verdana"/>
          <w:sz w:val="20"/>
          <w:szCs w:val="20"/>
        </w:rPr>
      </w:pPr>
      <w:r>
        <w:rPr>
          <w:rFonts w:ascii="Verdana" w:hAnsi="Verdana"/>
          <w:sz w:val="20"/>
          <w:szCs w:val="20"/>
        </w:rPr>
        <w:t>There is an optimum height where there is diminishing return on living space provided. Greater heights mean more lifts, increased costs, and resource consumption for foundations and structures, and potentially higher carbon emissions for construction. Very tall buildings generally have a higher cost in both economic and carbon emissions.</w:t>
      </w:r>
    </w:p>
    <w:p w14:paraId="6CB52417" w14:textId="77777777" w:rsidR="00507F68" w:rsidRDefault="00507F68" w:rsidP="00507F68">
      <w:pPr>
        <w:rPr>
          <w:rFonts w:ascii="Verdana" w:hAnsi="Verdana"/>
          <w:sz w:val="20"/>
          <w:szCs w:val="20"/>
        </w:rPr>
      </w:pPr>
      <w:r>
        <w:rPr>
          <w:rFonts w:ascii="Verdana" w:hAnsi="Verdana"/>
          <w:sz w:val="20"/>
          <w:szCs w:val="20"/>
        </w:rPr>
        <w:t>It is important to avoid unintended consequences of changing guidelines. Increase in heights should not lead to increase in rate of demolition by making it more attractive for developers to invest in redeveloping of existing high value central sites with relatively small increase in floor area but massive emissions of embodied carbon</w:t>
      </w:r>
      <w:r>
        <w:rPr>
          <w:rStyle w:val="FootnoteReference"/>
          <w:rFonts w:ascii="Verdana" w:hAnsi="Verdana"/>
          <w:sz w:val="20"/>
          <w:szCs w:val="20"/>
        </w:rPr>
        <w:footnoteReference w:id="1"/>
      </w:r>
      <w:r>
        <w:rPr>
          <w:rFonts w:ascii="Verdana" w:hAnsi="Verdana"/>
          <w:sz w:val="20"/>
          <w:szCs w:val="20"/>
        </w:rPr>
        <w:t xml:space="preserve"> from the resultant new </w:t>
      </w:r>
      <w:commentRangeStart w:id="0"/>
      <w:r>
        <w:rPr>
          <w:rFonts w:ascii="Verdana" w:hAnsi="Verdana"/>
          <w:sz w:val="20"/>
          <w:szCs w:val="20"/>
        </w:rPr>
        <w:t>construction</w:t>
      </w:r>
      <w:commentRangeEnd w:id="0"/>
      <w:r>
        <w:rPr>
          <w:rStyle w:val="CommentReference"/>
        </w:rPr>
        <w:commentReference w:id="0"/>
      </w:r>
      <w:r>
        <w:rPr>
          <w:rFonts w:ascii="Verdana" w:hAnsi="Verdana"/>
          <w:sz w:val="20"/>
          <w:szCs w:val="20"/>
        </w:rPr>
        <w:t xml:space="preserve">. </w:t>
      </w:r>
    </w:p>
    <w:p w14:paraId="7C36722D" w14:textId="77777777" w:rsidR="00507F68" w:rsidRDefault="00507F68" w:rsidP="00507F68">
      <w:pPr>
        <w:rPr>
          <w:rFonts w:ascii="Verdana" w:hAnsi="Verdana"/>
          <w:sz w:val="20"/>
          <w:szCs w:val="20"/>
        </w:rPr>
      </w:pPr>
      <w:r>
        <w:rPr>
          <w:rFonts w:ascii="Verdana" w:hAnsi="Verdana"/>
          <w:sz w:val="20"/>
          <w:szCs w:val="20"/>
        </w:rPr>
        <w:t xml:space="preserve">Studies carried out by </w:t>
      </w:r>
      <w:hyperlink r:id="rId19" w:history="1">
        <w:r w:rsidRPr="008872D8">
          <w:rPr>
            <w:rStyle w:val="Hyperlink"/>
            <w:rFonts w:ascii="Verdana" w:hAnsi="Verdana"/>
            <w:sz w:val="20"/>
            <w:szCs w:val="20"/>
          </w:rPr>
          <w:t>Sturgis on Life Cycle Carbon</w:t>
        </w:r>
      </w:hyperlink>
      <w:r>
        <w:rPr>
          <w:rFonts w:ascii="Verdana" w:hAnsi="Verdana"/>
          <w:sz w:val="20"/>
          <w:szCs w:val="20"/>
        </w:rPr>
        <w:t xml:space="preserve"> have shown for one UK apartment block that 50 % of the regulated life cycle carbon was attributable to the construction of the block before it was even occupied. This down to the production of the materials, transport and construction activities. </w:t>
      </w:r>
    </w:p>
    <w:p w14:paraId="4FC710DF" w14:textId="77777777" w:rsidR="00507F68" w:rsidRDefault="00507F68" w:rsidP="00507F68">
      <w:pPr>
        <w:rPr>
          <w:rFonts w:ascii="Verdana" w:hAnsi="Verdana"/>
          <w:sz w:val="20"/>
          <w:szCs w:val="20"/>
        </w:rPr>
      </w:pPr>
      <w:r>
        <w:rPr>
          <w:rFonts w:ascii="Verdana" w:hAnsi="Verdana"/>
          <w:sz w:val="20"/>
          <w:szCs w:val="20"/>
        </w:rPr>
        <w:t xml:space="preserve">A study on building heights related to embodied carbon should be carried out to determine relationship. This </w:t>
      </w:r>
      <w:hyperlink r:id="rId20" w:history="1">
        <w:r w:rsidRPr="00B92F3E">
          <w:rPr>
            <w:rStyle w:val="Hyperlink"/>
            <w:rFonts w:ascii="Verdana" w:hAnsi="Verdana"/>
            <w:sz w:val="20"/>
            <w:szCs w:val="20"/>
          </w:rPr>
          <w:t>article gives a good overview of how embodied carbon would be impacted by increased heights</w:t>
        </w:r>
      </w:hyperlink>
      <w:r>
        <w:rPr>
          <w:rFonts w:ascii="Verdana" w:hAnsi="Verdana"/>
          <w:sz w:val="20"/>
          <w:szCs w:val="20"/>
        </w:rPr>
        <w:t xml:space="preserve">, i.e. via underground parking structures and additional lifts and stairs. </w:t>
      </w:r>
    </w:p>
    <w:p w14:paraId="22DF23D7" w14:textId="77777777" w:rsidR="00507F68" w:rsidRDefault="00507F68" w:rsidP="00507F68">
      <w:pPr>
        <w:rPr>
          <w:rFonts w:ascii="Verdana" w:hAnsi="Verdana"/>
          <w:sz w:val="20"/>
          <w:szCs w:val="20"/>
        </w:rPr>
      </w:pPr>
      <w:r>
        <w:rPr>
          <w:rFonts w:ascii="Verdana" w:hAnsi="Verdana"/>
          <w:sz w:val="20"/>
          <w:szCs w:val="20"/>
        </w:rPr>
        <w:t xml:space="preserve">The relationship between resource consumption, embodied carbon, density and infrastructure needs to be further studied and additional research funding provided to </w:t>
      </w:r>
      <w:r>
        <w:rPr>
          <w:rFonts w:ascii="Verdana" w:hAnsi="Verdana"/>
          <w:sz w:val="20"/>
          <w:szCs w:val="20"/>
        </w:rPr>
        <w:lastRenderedPageBreak/>
        <w:t xml:space="preserve">make policy decisions. IGBC has been providing leadership through its </w:t>
      </w:r>
      <w:hyperlink r:id="rId21" w:history="1">
        <w:r w:rsidRPr="008F5520">
          <w:rPr>
            <w:rStyle w:val="Hyperlink"/>
            <w:rFonts w:ascii="Verdana" w:hAnsi="Verdana"/>
            <w:sz w:val="20"/>
            <w:szCs w:val="20"/>
          </w:rPr>
          <w:t>EPD Ireland</w:t>
        </w:r>
      </w:hyperlink>
      <w:r>
        <w:rPr>
          <w:rFonts w:ascii="Verdana" w:hAnsi="Verdana"/>
          <w:sz w:val="20"/>
          <w:szCs w:val="20"/>
        </w:rPr>
        <w:t>, Environmental Product Declaration programme. It has provided training in building Life Cycle Assessment (LCA) and embodied carbon, including to Dublin City Council’s architect and surveying divisions allowing them to make informed decisions on redevelopment impacts on carbon emissions.</w:t>
      </w:r>
    </w:p>
    <w:p w14:paraId="656EA700" w14:textId="77777777" w:rsidR="00507F68" w:rsidRPr="002D21E3" w:rsidRDefault="00507F68" w:rsidP="00507F68">
      <w:pPr>
        <w:rPr>
          <w:rFonts w:ascii="Verdana" w:hAnsi="Verdana"/>
          <w:b/>
          <w:sz w:val="20"/>
          <w:szCs w:val="20"/>
        </w:rPr>
      </w:pPr>
      <w:r w:rsidRPr="002D21E3">
        <w:rPr>
          <w:rFonts w:ascii="Verdana" w:hAnsi="Verdana"/>
          <w:b/>
          <w:sz w:val="20"/>
          <w:szCs w:val="20"/>
        </w:rPr>
        <w:t>Density versus height</w:t>
      </w:r>
    </w:p>
    <w:p w14:paraId="6109982B" w14:textId="77777777" w:rsidR="00507F68" w:rsidRDefault="00507F68" w:rsidP="00507F68">
      <w:pPr>
        <w:rPr>
          <w:rFonts w:ascii="Verdana" w:hAnsi="Verdana"/>
          <w:sz w:val="20"/>
          <w:szCs w:val="20"/>
        </w:rPr>
      </w:pPr>
      <w:r>
        <w:rPr>
          <w:rFonts w:ascii="Verdana" w:hAnsi="Verdana"/>
          <w:b/>
          <w:sz w:val="20"/>
          <w:szCs w:val="20"/>
        </w:rPr>
        <w:t xml:space="preserve">1.5 – </w:t>
      </w:r>
      <w:r w:rsidRPr="00867CB6">
        <w:rPr>
          <w:rFonts w:ascii="Verdana" w:hAnsi="Verdana"/>
          <w:sz w:val="20"/>
          <w:szCs w:val="20"/>
        </w:rPr>
        <w:t xml:space="preserve">Paris has very few high rise buildings </w:t>
      </w:r>
      <w:r>
        <w:rPr>
          <w:rFonts w:ascii="Verdana" w:hAnsi="Verdana"/>
          <w:sz w:val="20"/>
          <w:szCs w:val="20"/>
        </w:rPr>
        <w:t xml:space="preserve">and achieves density through medium heights. 6-8 stories over a much larger area. Dublin has similar heights in a very small centre but is surrounded by a much greater area of extremely low density. Increasing the heights in the relatively small area of central Dublin will deliver very little, with far greater potential to deliver homes at scale by redevelopment and thereby transform car dependent neighbourhoods into walkable ones with good public transport.  </w:t>
      </w:r>
      <w:r w:rsidRPr="008C66BC">
        <w:rPr>
          <w:rFonts w:ascii="Verdana" w:hAnsi="Verdana"/>
          <w:sz w:val="20"/>
          <w:szCs w:val="20"/>
        </w:rPr>
        <w:t>https://en.wikipedia.org/wiki/File:Population_density_map_of_Paris_in_2012.svg</w:t>
      </w:r>
    </w:p>
    <w:p w14:paraId="481F9C69" w14:textId="77777777" w:rsidR="00507F68" w:rsidRPr="002D21E3" w:rsidRDefault="00507F68" w:rsidP="00507F68">
      <w:pPr>
        <w:rPr>
          <w:rFonts w:ascii="Verdana" w:hAnsi="Verdana"/>
          <w:b/>
          <w:sz w:val="20"/>
          <w:szCs w:val="20"/>
        </w:rPr>
      </w:pPr>
      <w:r>
        <w:rPr>
          <w:rFonts w:ascii="Verdana" w:hAnsi="Verdana"/>
          <w:sz w:val="20"/>
          <w:szCs w:val="20"/>
        </w:rPr>
        <w:t xml:space="preserve">Density is as much or more related to layout of roads and distances between buildings as it is to heights. It is preferable to set densities per hectare rather than rely just on heights. A move to planning based around people rather than cars would enable greater densities, by reducing the standard 22m privacy between opposing windows, and narrower carriageway widths. Schemes such as the </w:t>
      </w:r>
      <w:hyperlink r:id="rId22" w:history="1">
        <w:r w:rsidRPr="00973766">
          <w:rPr>
            <w:rStyle w:val="Hyperlink"/>
            <w:rFonts w:ascii="Verdana" w:hAnsi="Verdana"/>
            <w:sz w:val="20"/>
            <w:szCs w:val="20"/>
          </w:rPr>
          <w:t>Home Performance Index Silver</w:t>
        </w:r>
      </w:hyperlink>
      <w:r>
        <w:rPr>
          <w:rFonts w:ascii="Verdana" w:hAnsi="Verdana"/>
          <w:sz w:val="20"/>
          <w:szCs w:val="20"/>
        </w:rPr>
        <w:t xml:space="preserve"> certified George’s Place in Dun Laoghaire show that good densities of well in excess of 50 units to the hectare are possible with just two story housing when coupled with good place making. </w:t>
      </w:r>
    </w:p>
    <w:p w14:paraId="7FC04C78" w14:textId="77777777" w:rsidR="00507F68" w:rsidRDefault="00507F68" w:rsidP="00507F68">
      <w:pPr>
        <w:rPr>
          <w:rFonts w:ascii="Verdana" w:hAnsi="Verdana"/>
          <w:sz w:val="20"/>
          <w:szCs w:val="20"/>
        </w:rPr>
      </w:pPr>
      <w:r>
        <w:rPr>
          <w:rFonts w:ascii="Verdana" w:hAnsi="Verdana"/>
          <w:sz w:val="20"/>
          <w:szCs w:val="20"/>
        </w:rPr>
        <w:t xml:space="preserve">There needs be forward and proactive planning for a future with greatly diminished car ownership in the metropolitan areas. This will be driven by technology enabled initiatives such as car sharing (e.g. Gocar), peer to peer car rental (e.g. Fleet), Uber, driverless cars and of course better public transport. Carsharing is shown to eliminate the need for up to 26 cars for each car share provided. These together offer great potential to free up space from surface parking around supermarkets, shopping centres, cinemas, schools, government and local authority offices as the necessity for car parking will largely be defunct. This affords greater opportunities to looks at the distances between homes in lower rise development. </w:t>
      </w:r>
    </w:p>
    <w:p w14:paraId="0F42A01E" w14:textId="77777777" w:rsidR="00507F68" w:rsidRDefault="00507F68" w:rsidP="00507F68">
      <w:pPr>
        <w:rPr>
          <w:rFonts w:ascii="Verdana" w:hAnsi="Verdana"/>
          <w:sz w:val="20"/>
          <w:szCs w:val="20"/>
        </w:rPr>
      </w:pPr>
      <w:r>
        <w:rPr>
          <w:rFonts w:ascii="Verdana" w:hAnsi="Verdana"/>
          <w:sz w:val="20"/>
          <w:szCs w:val="20"/>
        </w:rPr>
        <w:t>If the 20</w:t>
      </w:r>
      <w:r w:rsidRPr="002D21E3">
        <w:rPr>
          <w:rFonts w:ascii="Verdana" w:hAnsi="Verdana"/>
          <w:sz w:val="20"/>
          <w:szCs w:val="20"/>
          <w:vertAlign w:val="superscript"/>
        </w:rPr>
        <w:t>th</w:t>
      </w:r>
      <w:r>
        <w:rPr>
          <w:rFonts w:ascii="Verdana" w:hAnsi="Verdana"/>
          <w:sz w:val="20"/>
          <w:szCs w:val="20"/>
        </w:rPr>
        <w:t xml:space="preserve"> century was the era of the resource intensive linear make, break economy, and can be seen as a failed experiment in building communities around the car. The 21</w:t>
      </w:r>
      <w:r w:rsidRPr="002D21E3">
        <w:rPr>
          <w:rFonts w:ascii="Verdana" w:hAnsi="Verdana"/>
          <w:sz w:val="20"/>
          <w:szCs w:val="20"/>
          <w:vertAlign w:val="superscript"/>
        </w:rPr>
        <w:t>st</w:t>
      </w:r>
      <w:r>
        <w:rPr>
          <w:rFonts w:ascii="Verdana" w:hAnsi="Verdana"/>
          <w:sz w:val="20"/>
          <w:szCs w:val="20"/>
        </w:rPr>
        <w:t xml:space="preserve"> century is the century of circular thinking and the sharing economy. Planning policy and design of streets needs to more proactively reflect this. </w:t>
      </w:r>
    </w:p>
    <w:p w14:paraId="0A055094" w14:textId="77777777" w:rsidR="00507F68" w:rsidRPr="002D21E3" w:rsidRDefault="00507F68" w:rsidP="00507F68">
      <w:pPr>
        <w:rPr>
          <w:rFonts w:ascii="Verdana" w:hAnsi="Verdana"/>
          <w:b/>
          <w:sz w:val="20"/>
          <w:szCs w:val="20"/>
        </w:rPr>
      </w:pPr>
      <w:r w:rsidRPr="002D21E3">
        <w:rPr>
          <w:rFonts w:ascii="Verdana" w:hAnsi="Verdana"/>
          <w:b/>
          <w:sz w:val="20"/>
          <w:szCs w:val="20"/>
        </w:rPr>
        <w:t>Suburban density</w:t>
      </w:r>
    </w:p>
    <w:p w14:paraId="08F101A8" w14:textId="77777777" w:rsidR="00507F68" w:rsidRDefault="00507F68" w:rsidP="00507F68">
      <w:pPr>
        <w:rPr>
          <w:rFonts w:ascii="Verdana" w:hAnsi="Verdana"/>
          <w:sz w:val="20"/>
          <w:szCs w:val="20"/>
        </w:rPr>
      </w:pPr>
      <w:r>
        <w:rPr>
          <w:rFonts w:ascii="Verdana" w:hAnsi="Verdana"/>
          <w:sz w:val="20"/>
          <w:szCs w:val="20"/>
        </w:rPr>
        <w:t xml:space="preserve">There is greater potential to provide higher density in the suburbs than in the centres. </w:t>
      </w:r>
    </w:p>
    <w:p w14:paraId="20D92CE0" w14:textId="77777777" w:rsidR="00507F68" w:rsidRPr="00FA4B87" w:rsidRDefault="00507F68" w:rsidP="00507F68">
      <w:pPr>
        <w:rPr>
          <w:rFonts w:ascii="Verdana" w:hAnsi="Verdana" w:cstheme="minorHAnsi"/>
          <w:sz w:val="20"/>
          <w:szCs w:val="20"/>
        </w:rPr>
      </w:pPr>
      <w:r w:rsidRPr="00FA4B87">
        <w:rPr>
          <w:rFonts w:ascii="Verdana" w:hAnsi="Verdana"/>
          <w:sz w:val="20"/>
          <w:szCs w:val="20"/>
        </w:rPr>
        <w:t>The suburbs</w:t>
      </w:r>
      <w:r>
        <w:rPr>
          <w:rFonts w:ascii="Verdana" w:hAnsi="Verdana"/>
          <w:sz w:val="20"/>
          <w:szCs w:val="20"/>
        </w:rPr>
        <w:t xml:space="preserve"> of our major towns and cities</w:t>
      </w:r>
      <w:r w:rsidRPr="00FA4B87">
        <w:rPr>
          <w:rFonts w:ascii="Verdana" w:hAnsi="Verdana"/>
          <w:sz w:val="20"/>
          <w:szCs w:val="20"/>
        </w:rPr>
        <w:t xml:space="preserve"> also need densification and consolidation if they are not to suffer from depopulation brought about by smaller household size. </w:t>
      </w:r>
      <w:r w:rsidRPr="00FA4B87">
        <w:rPr>
          <w:rFonts w:ascii="Verdana" w:hAnsi="Verdana" w:cstheme="minorHAnsi"/>
          <w:sz w:val="20"/>
          <w:szCs w:val="20"/>
        </w:rPr>
        <w:t xml:space="preserve">Reduction in population density in these areas makes the provision of vital infrastructure such as schools, and public transport even more challenging, and leads to loneliness and isolation of the elderly. </w:t>
      </w:r>
    </w:p>
    <w:p w14:paraId="469B529C" w14:textId="77777777" w:rsidR="00507F68" w:rsidRPr="006C45B2" w:rsidRDefault="00507F68" w:rsidP="00507F68">
      <w:pPr>
        <w:rPr>
          <w:rFonts w:ascii="Verdana" w:hAnsi="Verdana" w:cstheme="minorHAnsi"/>
          <w:sz w:val="20"/>
          <w:szCs w:val="20"/>
        </w:rPr>
      </w:pPr>
      <w:r w:rsidRPr="00FA4B87">
        <w:rPr>
          <w:rFonts w:ascii="Verdana" w:hAnsi="Verdana" w:cstheme="minorHAnsi"/>
          <w:sz w:val="20"/>
          <w:szCs w:val="20"/>
        </w:rPr>
        <w:t>The option to vertically</w:t>
      </w:r>
      <w:r>
        <w:rPr>
          <w:rFonts w:ascii="Verdana" w:hAnsi="Verdana" w:cstheme="minorHAnsi"/>
          <w:sz w:val="20"/>
          <w:szCs w:val="20"/>
        </w:rPr>
        <w:t>/horizontally</w:t>
      </w:r>
      <w:r w:rsidRPr="00FA4B87">
        <w:rPr>
          <w:rFonts w:ascii="Verdana" w:hAnsi="Verdana" w:cstheme="minorHAnsi"/>
          <w:sz w:val="20"/>
          <w:szCs w:val="20"/>
        </w:rPr>
        <w:t xml:space="preserve"> extend semi-detached or terraced housing</w:t>
      </w:r>
      <w:r>
        <w:rPr>
          <w:rFonts w:ascii="Verdana" w:hAnsi="Verdana" w:cstheme="minorHAnsi"/>
          <w:sz w:val="20"/>
          <w:szCs w:val="20"/>
        </w:rPr>
        <w:t>,</w:t>
      </w:r>
      <w:r w:rsidRPr="00FA4B87">
        <w:rPr>
          <w:rFonts w:ascii="Verdana" w:hAnsi="Verdana" w:cstheme="minorHAnsi"/>
          <w:sz w:val="20"/>
          <w:szCs w:val="20"/>
        </w:rPr>
        <w:t xml:space="preserve"> subdivide them </w:t>
      </w:r>
      <w:r>
        <w:rPr>
          <w:rFonts w:ascii="Verdana" w:hAnsi="Verdana" w:cstheme="minorHAnsi"/>
          <w:sz w:val="20"/>
          <w:szCs w:val="20"/>
        </w:rPr>
        <w:t>vertically/</w:t>
      </w:r>
      <w:r w:rsidRPr="00FA4B87">
        <w:rPr>
          <w:rFonts w:ascii="Verdana" w:hAnsi="Verdana" w:cstheme="minorHAnsi"/>
          <w:sz w:val="20"/>
          <w:szCs w:val="20"/>
        </w:rPr>
        <w:t>horizontally could be explored. The additional unit could pay for the entire cost of the development. We suggest developing guidance and case studies for the most common building types found in the suburbs</w:t>
      </w:r>
      <w:r>
        <w:rPr>
          <w:rFonts w:ascii="Verdana" w:hAnsi="Verdana" w:cstheme="minorHAnsi"/>
          <w:sz w:val="20"/>
          <w:szCs w:val="20"/>
        </w:rPr>
        <w:t xml:space="preserve"> as </w:t>
      </w:r>
      <w:r w:rsidRPr="00FA4B87">
        <w:rPr>
          <w:rFonts w:ascii="Verdana" w:hAnsi="Verdana" w:cstheme="minorHAnsi"/>
          <w:sz w:val="20"/>
          <w:szCs w:val="20"/>
        </w:rPr>
        <w:t xml:space="preserve">done in </w:t>
      </w:r>
      <w:r>
        <w:rPr>
          <w:rFonts w:ascii="Verdana" w:hAnsi="Verdana" w:cstheme="minorHAnsi"/>
          <w:sz w:val="20"/>
          <w:szCs w:val="20"/>
        </w:rPr>
        <w:t xml:space="preserve">the </w:t>
      </w:r>
      <w:hyperlink r:id="rId23" w:history="1">
        <w:r w:rsidRPr="00844FB4">
          <w:rPr>
            <w:rStyle w:val="Hyperlink"/>
            <w:rFonts w:ascii="Verdana" w:hAnsi="Verdana" w:cstheme="minorHAnsi"/>
            <w:sz w:val="20"/>
            <w:szCs w:val="20"/>
          </w:rPr>
          <w:t xml:space="preserve">document Bringing </w:t>
        </w:r>
        <w:r w:rsidRPr="00844FB4">
          <w:rPr>
            <w:rStyle w:val="Hyperlink"/>
            <w:rFonts w:ascii="Verdana" w:hAnsi="Verdana" w:cstheme="minorHAnsi"/>
            <w:sz w:val="20"/>
            <w:szCs w:val="20"/>
          </w:rPr>
          <w:lastRenderedPageBreak/>
          <w:t>Back Homes</w:t>
        </w:r>
      </w:hyperlink>
      <w:r>
        <w:rPr>
          <w:rFonts w:ascii="Verdana" w:hAnsi="Verdana" w:cstheme="minorHAnsi"/>
          <w:sz w:val="20"/>
          <w:szCs w:val="20"/>
        </w:rPr>
        <w:t xml:space="preserve"> published in August</w:t>
      </w:r>
      <w:r w:rsidRPr="00FA4B87">
        <w:rPr>
          <w:rFonts w:ascii="Verdana" w:hAnsi="Verdana" w:cstheme="minorHAnsi"/>
          <w:sz w:val="20"/>
          <w:szCs w:val="20"/>
        </w:rPr>
        <w:t xml:space="preserve">. </w:t>
      </w:r>
      <w:r>
        <w:rPr>
          <w:rFonts w:ascii="Verdana" w:hAnsi="Verdana" w:cstheme="minorHAnsi"/>
          <w:sz w:val="20"/>
          <w:szCs w:val="20"/>
        </w:rPr>
        <w:t xml:space="preserve">There is currently an overly conservative planning approach to our sprawling suburbs which often have little cultural or aesthetic value but which often have greater potential to increase housing density. </w:t>
      </w:r>
    </w:p>
    <w:p w14:paraId="4FBCFE37" w14:textId="77777777" w:rsidR="00507F68" w:rsidRPr="002D21E3" w:rsidRDefault="00507F68" w:rsidP="00507F68">
      <w:pPr>
        <w:rPr>
          <w:rFonts w:ascii="Verdana" w:hAnsi="Verdana"/>
          <w:b/>
          <w:sz w:val="20"/>
          <w:szCs w:val="20"/>
        </w:rPr>
      </w:pPr>
      <w:r w:rsidRPr="002D21E3">
        <w:rPr>
          <w:rFonts w:ascii="Verdana" w:hAnsi="Verdana"/>
          <w:b/>
          <w:sz w:val="20"/>
          <w:szCs w:val="20"/>
        </w:rPr>
        <w:t xml:space="preserve">Fiscal </w:t>
      </w:r>
      <w:r>
        <w:rPr>
          <w:rFonts w:ascii="Verdana" w:hAnsi="Verdana"/>
          <w:b/>
          <w:sz w:val="20"/>
          <w:szCs w:val="20"/>
        </w:rPr>
        <w:t xml:space="preserve">and other </w:t>
      </w:r>
      <w:r w:rsidRPr="002D21E3">
        <w:rPr>
          <w:rFonts w:ascii="Verdana" w:hAnsi="Verdana"/>
          <w:b/>
          <w:sz w:val="20"/>
          <w:szCs w:val="20"/>
        </w:rPr>
        <w:t>Incentives</w:t>
      </w:r>
      <w:r>
        <w:rPr>
          <w:rFonts w:ascii="Verdana" w:hAnsi="Verdana"/>
          <w:b/>
          <w:sz w:val="20"/>
          <w:szCs w:val="20"/>
        </w:rPr>
        <w:t xml:space="preserve"> for density</w:t>
      </w:r>
    </w:p>
    <w:p w14:paraId="20717221" w14:textId="77777777" w:rsidR="00507F68" w:rsidRDefault="00507F68" w:rsidP="00507F68">
      <w:pPr>
        <w:rPr>
          <w:rFonts w:ascii="Verdana" w:hAnsi="Verdana"/>
          <w:sz w:val="20"/>
          <w:szCs w:val="20"/>
        </w:rPr>
      </w:pPr>
      <w:r>
        <w:rPr>
          <w:rFonts w:ascii="Verdana" w:hAnsi="Verdana"/>
          <w:sz w:val="20"/>
          <w:szCs w:val="20"/>
        </w:rPr>
        <w:t>The guidelines are welcome however these will only work if supported by crosscutting fiscal and other incentives. Very few apartments are currently been built. Even making heights obligatory in area plans does not mean they will be delivered, if developers do not see them as viable. Viability is also related to what purchasers will pay. This is also related to the quality of place making and amenities offered to the home buyer.</w:t>
      </w:r>
    </w:p>
    <w:p w14:paraId="3B340FEA" w14:textId="77777777" w:rsidR="00507F68" w:rsidRDefault="00507F68" w:rsidP="00507F68">
      <w:pPr>
        <w:rPr>
          <w:rFonts w:ascii="Verdana" w:hAnsi="Verdana"/>
          <w:sz w:val="20"/>
          <w:szCs w:val="20"/>
        </w:rPr>
      </w:pPr>
      <w:r>
        <w:rPr>
          <w:rFonts w:ascii="Verdana" w:hAnsi="Verdana"/>
          <w:sz w:val="20"/>
          <w:szCs w:val="20"/>
        </w:rPr>
        <w:t>It was made clear at the seminar organised in the Custom house on the 18</w:t>
      </w:r>
      <w:r w:rsidRPr="002D21E3">
        <w:rPr>
          <w:rFonts w:ascii="Verdana" w:hAnsi="Verdana"/>
          <w:sz w:val="20"/>
          <w:szCs w:val="20"/>
          <w:vertAlign w:val="superscript"/>
        </w:rPr>
        <w:t>th</w:t>
      </w:r>
      <w:r>
        <w:rPr>
          <w:rFonts w:ascii="Verdana" w:hAnsi="Verdana"/>
          <w:sz w:val="20"/>
          <w:szCs w:val="20"/>
        </w:rPr>
        <w:t xml:space="preserve"> September that there was strong cultural and political resistance to increased heights and density. However, culture is an outcome of long-term policy of encouraging very low density. </w:t>
      </w:r>
    </w:p>
    <w:p w14:paraId="57535920" w14:textId="77777777" w:rsidR="00507F68" w:rsidRDefault="00507F68" w:rsidP="00507F68">
      <w:pPr>
        <w:rPr>
          <w:rFonts w:ascii="Verdana" w:hAnsi="Verdana"/>
          <w:sz w:val="20"/>
          <w:szCs w:val="20"/>
        </w:rPr>
      </w:pPr>
      <w:r>
        <w:rPr>
          <w:rFonts w:ascii="Verdana" w:hAnsi="Verdana"/>
          <w:sz w:val="20"/>
          <w:szCs w:val="20"/>
        </w:rPr>
        <w:t xml:space="preserve">Government and Local authorities itself must take a leadership role and ensure that they  themselves deliver on the proposed heights and densities suggested. They should review the very low density suburban social housing that it is currently funding in some cases under 30 units to the hectare. </w:t>
      </w:r>
    </w:p>
    <w:p w14:paraId="338F07A7" w14:textId="77777777" w:rsidR="00507F68" w:rsidRDefault="00507F68" w:rsidP="00507F68">
      <w:pPr>
        <w:rPr>
          <w:rFonts w:ascii="Verdana" w:hAnsi="Verdana"/>
          <w:sz w:val="20"/>
          <w:szCs w:val="20"/>
        </w:rPr>
      </w:pPr>
      <w:r>
        <w:rPr>
          <w:rFonts w:ascii="Verdana" w:hAnsi="Verdana"/>
          <w:sz w:val="20"/>
          <w:szCs w:val="20"/>
        </w:rPr>
        <w:t xml:space="preserve">There is little incentive for homeowners to purchase homes in higher density developments or for developers to build them if  they carry higher development costs per unit – See </w:t>
      </w:r>
      <w:hyperlink r:id="rId24" w:history="1">
        <w:r w:rsidRPr="00446813">
          <w:rPr>
            <w:rStyle w:val="Hyperlink"/>
            <w:rFonts w:ascii="Verdana" w:hAnsi="Verdana"/>
            <w:sz w:val="20"/>
            <w:szCs w:val="20"/>
          </w:rPr>
          <w:t>SCSI report- The real cost of apartment delivery.</w:t>
        </w:r>
      </w:hyperlink>
      <w:r>
        <w:rPr>
          <w:rFonts w:ascii="Verdana" w:hAnsi="Verdana"/>
          <w:sz w:val="20"/>
          <w:szCs w:val="20"/>
        </w:rPr>
        <w:t xml:space="preserve"> If a homeowner can avoid management charges and access higher loan to value ratio for buying low density homes then they will choose low density. </w:t>
      </w:r>
    </w:p>
    <w:p w14:paraId="11256225" w14:textId="77777777" w:rsidR="00507F68" w:rsidRDefault="00507F68" w:rsidP="00507F68">
      <w:pPr>
        <w:rPr>
          <w:rFonts w:ascii="Verdana" w:hAnsi="Verdana"/>
          <w:sz w:val="20"/>
          <w:szCs w:val="20"/>
        </w:rPr>
      </w:pPr>
      <w:r>
        <w:rPr>
          <w:rFonts w:ascii="Verdana" w:hAnsi="Verdana"/>
          <w:sz w:val="20"/>
          <w:szCs w:val="20"/>
        </w:rPr>
        <w:t xml:space="preserve">This requires tipping the balance for the home purchaser to make it financially more attractive to buy in denser development and for the developer to build to higher densities. Over the long-term fiscal policy needs to change homebuying culture to favour density over traditional type homes with front and back gardens. Land like water is scarce and all must be conditioned to use it wisely. </w:t>
      </w:r>
    </w:p>
    <w:p w14:paraId="6232DC10" w14:textId="77777777" w:rsidR="00507F68" w:rsidRDefault="00507F68" w:rsidP="00507F68">
      <w:pPr>
        <w:rPr>
          <w:rFonts w:ascii="Verdana" w:hAnsi="Verdana"/>
          <w:sz w:val="20"/>
          <w:szCs w:val="20"/>
        </w:rPr>
      </w:pPr>
      <w:r>
        <w:rPr>
          <w:rFonts w:ascii="Verdana" w:hAnsi="Verdana"/>
          <w:sz w:val="20"/>
          <w:szCs w:val="20"/>
        </w:rPr>
        <w:t xml:space="preserve">Dwellings with more efficient use of land could attract lower stamp duty, and lower property tax by moving to a site valuation approach. Taxation should encourage the release of underutilised land. Sending clear price and tax signals is the best way to change culture. </w:t>
      </w:r>
    </w:p>
    <w:p w14:paraId="54313B9C" w14:textId="77777777" w:rsidR="00507F68" w:rsidRPr="002D21E3" w:rsidRDefault="00507F68" w:rsidP="00507F68">
      <w:pPr>
        <w:rPr>
          <w:rFonts w:ascii="Verdana" w:hAnsi="Verdana"/>
          <w:b/>
          <w:sz w:val="20"/>
          <w:szCs w:val="20"/>
        </w:rPr>
      </w:pPr>
      <w:r w:rsidRPr="002D21E3">
        <w:rPr>
          <w:rFonts w:ascii="Verdana" w:hAnsi="Verdana"/>
          <w:b/>
          <w:sz w:val="20"/>
          <w:szCs w:val="20"/>
        </w:rPr>
        <w:t>Incentives through sustainable investment</w:t>
      </w:r>
    </w:p>
    <w:p w14:paraId="7FC8BBCA" w14:textId="77777777" w:rsidR="00507F68" w:rsidRDefault="00507F68" w:rsidP="00507F68">
      <w:pPr>
        <w:rPr>
          <w:rFonts w:ascii="Verdana" w:hAnsi="Verdana"/>
          <w:sz w:val="20"/>
          <w:szCs w:val="20"/>
        </w:rPr>
      </w:pPr>
      <w:r>
        <w:rPr>
          <w:rFonts w:ascii="Verdana" w:hAnsi="Verdana"/>
          <w:sz w:val="20"/>
          <w:szCs w:val="20"/>
        </w:rPr>
        <w:t xml:space="preserve">The </w:t>
      </w:r>
      <w:hyperlink r:id="rId25" w:anchor="hleg" w:history="1">
        <w:r w:rsidRPr="009320E5">
          <w:rPr>
            <w:rStyle w:val="Hyperlink"/>
            <w:rFonts w:ascii="Verdana" w:hAnsi="Verdana"/>
            <w:sz w:val="20"/>
            <w:szCs w:val="20"/>
          </w:rPr>
          <w:t>EU’s high level expert group on Sustainable finance</w:t>
        </w:r>
      </w:hyperlink>
      <w:r>
        <w:rPr>
          <w:rFonts w:ascii="Verdana" w:hAnsi="Verdana"/>
          <w:sz w:val="20"/>
          <w:szCs w:val="20"/>
        </w:rPr>
        <w:t xml:space="preserve"> is intending to steer public and private finance towards sustainable investment. This includes encouraging or requiring banks to provide fiscal incentives such as Green Mortgages for home buyers where they receive discounted interest rates for more responsible purchases. </w:t>
      </w:r>
    </w:p>
    <w:p w14:paraId="52D938B5" w14:textId="77777777" w:rsidR="00507F68" w:rsidRDefault="00507F68" w:rsidP="00507F68">
      <w:pPr>
        <w:rPr>
          <w:rFonts w:ascii="Verdana" w:hAnsi="Verdana"/>
          <w:sz w:val="20"/>
          <w:szCs w:val="20"/>
        </w:rPr>
      </w:pPr>
      <w:r>
        <w:rPr>
          <w:rFonts w:ascii="Verdana" w:hAnsi="Verdana"/>
          <w:sz w:val="20"/>
          <w:szCs w:val="20"/>
        </w:rPr>
        <w:t xml:space="preserve">IGBC has participated in the EeMAP project with the European Mortgage Federation to develop a discounted mortgage for more energy efficient homes. 40 European banks are participating in the pilot- No Irish Banks are yet participating. IGBC has recently submitted a follow up proposal for H2020 funding with 12 other European participants and supported by a number of European banks, which would develop a certified green mortgage product based on the </w:t>
      </w:r>
      <w:hyperlink r:id="rId26" w:history="1">
        <w:r w:rsidRPr="00F50A38">
          <w:rPr>
            <w:rStyle w:val="Hyperlink"/>
            <w:rFonts w:ascii="Verdana" w:hAnsi="Verdana"/>
            <w:sz w:val="20"/>
            <w:szCs w:val="20"/>
          </w:rPr>
          <w:t>Home Performance Index</w:t>
        </w:r>
      </w:hyperlink>
      <w:r>
        <w:rPr>
          <w:rFonts w:ascii="Verdana" w:hAnsi="Verdana"/>
          <w:sz w:val="20"/>
          <w:szCs w:val="20"/>
        </w:rPr>
        <w:t xml:space="preserve">for new houses. This would be based on overall approach to sustainability including better land use and density. Support for such initiatives is vital to changing Irish cultural norms. </w:t>
      </w:r>
    </w:p>
    <w:p w14:paraId="72614933" w14:textId="77777777" w:rsidR="00507F68" w:rsidRDefault="00507F68" w:rsidP="00507F68">
      <w:pPr>
        <w:rPr>
          <w:rFonts w:ascii="Verdana" w:hAnsi="Verdana" w:cs="Calibri"/>
          <w:sz w:val="20"/>
          <w:szCs w:val="20"/>
        </w:rPr>
      </w:pPr>
      <w:r w:rsidRPr="002D21E3">
        <w:rPr>
          <w:rFonts w:ascii="Verdana" w:hAnsi="Verdana" w:cs="Calibri"/>
          <w:b/>
          <w:sz w:val="20"/>
          <w:szCs w:val="20"/>
        </w:rPr>
        <w:lastRenderedPageBreak/>
        <w:t>Rights to renewables -</w:t>
      </w:r>
      <w:r>
        <w:rPr>
          <w:rFonts w:ascii="Verdana" w:hAnsi="Verdana" w:cs="Calibri"/>
          <w:sz w:val="20"/>
          <w:szCs w:val="20"/>
        </w:rPr>
        <w:t xml:space="preserve"> The guidance also needs to consider the rights to renewables, where a taller building would overshadow a lower building and thus remove the overshadowed building to meet its energy needs from renewables. </w:t>
      </w:r>
      <w:commentRangeStart w:id="1"/>
      <w:r>
        <w:rPr>
          <w:rFonts w:ascii="Verdana" w:hAnsi="Verdana" w:cs="Calibri"/>
          <w:sz w:val="20"/>
          <w:szCs w:val="20"/>
        </w:rPr>
        <w:t>The RIAI have already submitted a paper on the importance of this to the department of housing</w:t>
      </w:r>
      <w:commentRangeEnd w:id="1"/>
      <w:r>
        <w:rPr>
          <w:rStyle w:val="CommentReference"/>
        </w:rPr>
        <w:commentReference w:id="1"/>
      </w:r>
      <w:r>
        <w:rPr>
          <w:rFonts w:ascii="Verdana" w:hAnsi="Verdana" w:cs="Calibri"/>
          <w:sz w:val="20"/>
          <w:szCs w:val="20"/>
        </w:rPr>
        <w:t xml:space="preserve">. Guidelines need to be developed as to how homeowners are compensated where their potential renewables are compromised. </w:t>
      </w:r>
    </w:p>
    <w:p w14:paraId="19421461" w14:textId="77777777" w:rsidR="00507F68" w:rsidRPr="002D21E3" w:rsidRDefault="00507F68" w:rsidP="00507F68">
      <w:pPr>
        <w:rPr>
          <w:rFonts w:ascii="Verdana" w:hAnsi="Verdana" w:cs="Calibri"/>
          <w:b/>
          <w:sz w:val="20"/>
          <w:szCs w:val="20"/>
        </w:rPr>
      </w:pPr>
      <w:r w:rsidRPr="002D21E3">
        <w:rPr>
          <w:rFonts w:ascii="Verdana" w:hAnsi="Verdana" w:cs="Calibri"/>
          <w:b/>
          <w:sz w:val="20"/>
          <w:szCs w:val="20"/>
        </w:rPr>
        <w:t>Density Heights and quality of life</w:t>
      </w:r>
    </w:p>
    <w:p w14:paraId="1714819E" w14:textId="77777777" w:rsidR="00507F68" w:rsidRDefault="00507F68" w:rsidP="00507F68">
      <w:pPr>
        <w:rPr>
          <w:rFonts w:ascii="Verdana" w:hAnsi="Verdana"/>
          <w:sz w:val="20"/>
          <w:szCs w:val="20"/>
        </w:rPr>
      </w:pPr>
      <w:r>
        <w:rPr>
          <w:rFonts w:ascii="Verdana" w:hAnsi="Verdana"/>
          <w:sz w:val="20"/>
          <w:szCs w:val="20"/>
        </w:rPr>
        <w:t xml:space="preserve">The Danish urbanist Jan Gehl recommends up to 4 – 6 stories as the optimum height for living quality in cities to maintain verbal and visual contact with the street. Increasing existing suburbs to at least 4 stories would deliver good quality family living and greatly increased densities. </w:t>
      </w:r>
    </w:p>
    <w:p w14:paraId="08BD3C9B" w14:textId="77777777" w:rsidR="00507F68" w:rsidRPr="00FA4B87" w:rsidRDefault="00507F68" w:rsidP="00507F68">
      <w:pPr>
        <w:rPr>
          <w:rFonts w:ascii="Verdana" w:hAnsi="Verdana" w:cs="Calibri"/>
          <w:sz w:val="20"/>
          <w:szCs w:val="20"/>
        </w:rPr>
      </w:pPr>
      <w:r>
        <w:rPr>
          <w:rFonts w:ascii="Verdana" w:hAnsi="Verdana" w:cs="Calibri"/>
          <w:sz w:val="20"/>
          <w:szCs w:val="20"/>
        </w:rPr>
        <w:t xml:space="preserve">The requirement for schemes to measure the quality of the development against metrics such as Home Performance Index is one way of ensuring that homes to higher densities are built to adequate quality. </w:t>
      </w:r>
    </w:p>
    <w:p w14:paraId="5ECAAE3E" w14:textId="77777777" w:rsidR="00507F68" w:rsidRPr="002D21E3" w:rsidRDefault="00507F68" w:rsidP="00507F68">
      <w:pPr>
        <w:rPr>
          <w:rFonts w:ascii="Verdana" w:hAnsi="Verdana"/>
          <w:b/>
          <w:sz w:val="20"/>
          <w:szCs w:val="20"/>
        </w:rPr>
      </w:pPr>
      <w:r w:rsidRPr="002D21E3">
        <w:rPr>
          <w:rFonts w:ascii="Verdana" w:hAnsi="Verdana"/>
          <w:b/>
          <w:sz w:val="20"/>
          <w:szCs w:val="20"/>
        </w:rPr>
        <w:t>Measuring Quality</w:t>
      </w:r>
    </w:p>
    <w:p w14:paraId="208B799C" w14:textId="77777777" w:rsidR="00507F68" w:rsidRDefault="00507F68" w:rsidP="00507F68">
      <w:pPr>
        <w:rPr>
          <w:rFonts w:ascii="Verdana" w:hAnsi="Verdana"/>
          <w:sz w:val="20"/>
          <w:szCs w:val="20"/>
        </w:rPr>
      </w:pPr>
      <w:r>
        <w:rPr>
          <w:rFonts w:ascii="Verdana" w:hAnsi="Verdana"/>
          <w:sz w:val="20"/>
          <w:szCs w:val="20"/>
        </w:rPr>
        <w:t xml:space="preserve">The </w:t>
      </w:r>
      <w:r w:rsidRPr="00FA4B87">
        <w:rPr>
          <w:rFonts w:ascii="Verdana" w:hAnsi="Verdana"/>
          <w:sz w:val="20"/>
          <w:szCs w:val="20"/>
        </w:rPr>
        <w:t xml:space="preserve"> </w:t>
      </w:r>
      <w:hyperlink r:id="rId27" w:history="1">
        <w:r w:rsidRPr="00FA4B87">
          <w:rPr>
            <w:rStyle w:val="Hyperlink"/>
            <w:rFonts w:ascii="Verdana" w:hAnsi="Verdana"/>
            <w:sz w:val="20"/>
            <w:szCs w:val="20"/>
          </w:rPr>
          <w:t>Home Performance Index</w:t>
        </w:r>
      </w:hyperlink>
      <w:r w:rsidRPr="00FA4B87">
        <w:rPr>
          <w:rFonts w:ascii="Verdana" w:hAnsi="Verdana"/>
          <w:sz w:val="20"/>
          <w:szCs w:val="20"/>
        </w:rPr>
        <w:t xml:space="preserve"> has been developed for new homes some of the indicators can play a positive role in ensuring that both homes and neighbourhood are attractive and sustainable.</w:t>
      </w:r>
      <w:r>
        <w:rPr>
          <w:rFonts w:ascii="Verdana" w:hAnsi="Verdana"/>
          <w:sz w:val="20"/>
          <w:szCs w:val="20"/>
        </w:rPr>
        <w:t xml:space="preserve"> </w:t>
      </w:r>
    </w:p>
    <w:p w14:paraId="21C51D88" w14:textId="77777777" w:rsidR="00507F68" w:rsidRPr="00FA4B87" w:rsidRDefault="00507F68" w:rsidP="00507F68">
      <w:pPr>
        <w:rPr>
          <w:rFonts w:ascii="Verdana" w:hAnsi="Verdana"/>
          <w:sz w:val="20"/>
          <w:szCs w:val="20"/>
        </w:rPr>
      </w:pPr>
      <w:r>
        <w:rPr>
          <w:rFonts w:ascii="Verdana" w:hAnsi="Verdana"/>
          <w:sz w:val="20"/>
          <w:szCs w:val="20"/>
        </w:rPr>
        <w:t xml:space="preserve">It recognises that there can be trade-offs in some cases between high density, daylight, open space and acoustics and it is the optimisation of different indicators that allow good development rather than rigid rules. There is little point in having super energy efficient homes that are car dependent and lead to unhealthy life styles. </w:t>
      </w:r>
      <w:r w:rsidRPr="00FA4B87">
        <w:rPr>
          <w:rFonts w:ascii="Verdana" w:hAnsi="Verdana"/>
          <w:sz w:val="20"/>
          <w:szCs w:val="20"/>
        </w:rPr>
        <w:t xml:space="preserve">In particular, the following considerations should be taken into account: </w:t>
      </w:r>
    </w:p>
    <w:p w14:paraId="220AA54D" w14:textId="77777777" w:rsidR="00507F68" w:rsidRPr="00FA4B87" w:rsidRDefault="00507F68" w:rsidP="00507F68">
      <w:pPr>
        <w:pStyle w:val="ListParagraph"/>
        <w:numPr>
          <w:ilvl w:val="0"/>
          <w:numId w:val="2"/>
        </w:numPr>
        <w:spacing w:after="200" w:line="276" w:lineRule="auto"/>
        <w:rPr>
          <w:rFonts w:ascii="Verdana" w:hAnsi="Verdana"/>
          <w:sz w:val="20"/>
          <w:szCs w:val="20"/>
        </w:rPr>
      </w:pPr>
      <w:r w:rsidRPr="00FA4B87">
        <w:rPr>
          <w:rFonts w:ascii="Verdana" w:hAnsi="Verdana"/>
          <w:sz w:val="20"/>
          <w:szCs w:val="20"/>
        </w:rPr>
        <w:t>Good quality, healthy, bright dwellings with excellent daylighting, thermal comfort and adequate private space</w:t>
      </w:r>
    </w:p>
    <w:p w14:paraId="0D744BF9" w14:textId="77777777" w:rsidR="00507F68" w:rsidRPr="00FA4B87" w:rsidRDefault="00507F68" w:rsidP="00507F68">
      <w:pPr>
        <w:pStyle w:val="ListParagraph"/>
        <w:numPr>
          <w:ilvl w:val="0"/>
          <w:numId w:val="2"/>
        </w:numPr>
        <w:spacing w:after="200" w:line="276" w:lineRule="auto"/>
        <w:rPr>
          <w:rFonts w:ascii="Verdana" w:hAnsi="Verdana"/>
          <w:sz w:val="20"/>
          <w:szCs w:val="20"/>
        </w:rPr>
      </w:pPr>
      <w:r w:rsidRPr="00FA4B87">
        <w:rPr>
          <w:rFonts w:ascii="Verdana" w:hAnsi="Verdana"/>
          <w:sz w:val="20"/>
          <w:szCs w:val="20"/>
        </w:rPr>
        <w:t>Guaranteeing excellent acoustic privacy between dwellings</w:t>
      </w:r>
    </w:p>
    <w:p w14:paraId="4193507F" w14:textId="77777777" w:rsidR="00507F68" w:rsidRPr="00FA4B87" w:rsidRDefault="00507F68" w:rsidP="00507F68">
      <w:pPr>
        <w:pStyle w:val="ListParagraph"/>
        <w:numPr>
          <w:ilvl w:val="0"/>
          <w:numId w:val="2"/>
        </w:numPr>
        <w:spacing w:after="200" w:line="276" w:lineRule="auto"/>
        <w:rPr>
          <w:rFonts w:ascii="Verdana" w:hAnsi="Verdana"/>
          <w:sz w:val="20"/>
          <w:szCs w:val="20"/>
        </w:rPr>
      </w:pPr>
      <w:r w:rsidRPr="00FA4B87">
        <w:rPr>
          <w:rFonts w:ascii="Verdana" w:hAnsi="Verdana"/>
          <w:sz w:val="20"/>
          <w:szCs w:val="20"/>
        </w:rPr>
        <w:t>Walkable distance to amenities, education, health facilities and transport</w:t>
      </w:r>
    </w:p>
    <w:p w14:paraId="4B83E516" w14:textId="77777777" w:rsidR="00507F68" w:rsidRDefault="00507F68" w:rsidP="00507F68">
      <w:pPr>
        <w:spacing w:after="200" w:line="276" w:lineRule="auto"/>
        <w:rPr>
          <w:rFonts w:ascii="Verdana" w:hAnsi="Verdana"/>
          <w:sz w:val="20"/>
          <w:szCs w:val="20"/>
        </w:rPr>
      </w:pPr>
      <w:r>
        <w:rPr>
          <w:rFonts w:ascii="Verdana" w:hAnsi="Verdana"/>
          <w:sz w:val="20"/>
          <w:szCs w:val="20"/>
        </w:rPr>
        <w:t>This</w:t>
      </w:r>
      <w:r w:rsidRPr="00FA4B87">
        <w:rPr>
          <w:rFonts w:ascii="Verdana" w:hAnsi="Verdana"/>
          <w:sz w:val="20"/>
          <w:szCs w:val="20"/>
        </w:rPr>
        <w:t xml:space="preserve"> may require renewal of public spaces so that people feel safer, happier and more likely to use them, as well as improvement of public footpaths and links to local cycling and public transport networks.</w:t>
      </w:r>
    </w:p>
    <w:p w14:paraId="1DF86BBD" w14:textId="77777777" w:rsidR="00507F68" w:rsidRPr="00FA4B87" w:rsidRDefault="00507F68" w:rsidP="00507F68">
      <w:pPr>
        <w:spacing w:after="200" w:line="276" w:lineRule="auto"/>
        <w:rPr>
          <w:rFonts w:ascii="Verdana" w:hAnsi="Verdana"/>
          <w:sz w:val="20"/>
          <w:szCs w:val="20"/>
        </w:rPr>
      </w:pPr>
      <w:r>
        <w:rPr>
          <w:rFonts w:ascii="Verdana" w:hAnsi="Verdana"/>
          <w:sz w:val="20"/>
          <w:szCs w:val="20"/>
        </w:rPr>
        <w:t xml:space="preserve">The Gold level standard of Home Performance Index requires that the home is not only highly energy efficient, aware of its full embodied footprint, maximises health and wellbeing, daylight and indoor air quality, is in a highly connected walkable neighbourhood, uses land efficiently and preserves bio diversity. The challenge is to achieve all of these. </w:t>
      </w:r>
    </w:p>
    <w:p w14:paraId="5E49F6F8" w14:textId="77777777" w:rsidR="00507F68" w:rsidRDefault="00507F68" w:rsidP="00507F68">
      <w:pPr>
        <w:pStyle w:val="Default"/>
        <w:rPr>
          <w:sz w:val="20"/>
          <w:szCs w:val="20"/>
        </w:rPr>
      </w:pPr>
    </w:p>
    <w:p w14:paraId="5694629B" w14:textId="77777777" w:rsidR="00507F68" w:rsidRDefault="00507F68" w:rsidP="00507F68">
      <w:pPr>
        <w:pStyle w:val="Default"/>
        <w:rPr>
          <w:sz w:val="20"/>
          <w:szCs w:val="20"/>
        </w:rPr>
      </w:pPr>
    </w:p>
    <w:p w14:paraId="1597BE56" w14:textId="77777777" w:rsidR="00507F68" w:rsidRDefault="00507F68" w:rsidP="00507F68">
      <w:pPr>
        <w:pStyle w:val="Default"/>
        <w:rPr>
          <w:sz w:val="20"/>
          <w:szCs w:val="20"/>
        </w:rPr>
      </w:pPr>
    </w:p>
    <w:p w14:paraId="796D9D8A" w14:textId="77777777" w:rsidR="00507F68" w:rsidRDefault="00507F68" w:rsidP="00507F68">
      <w:pPr>
        <w:pStyle w:val="Default"/>
        <w:rPr>
          <w:sz w:val="20"/>
          <w:szCs w:val="20"/>
        </w:rPr>
      </w:pPr>
      <w:r>
        <w:rPr>
          <w:sz w:val="20"/>
          <w:szCs w:val="20"/>
        </w:rPr>
        <w:t xml:space="preserve">Yours faithfully </w:t>
      </w:r>
    </w:p>
    <w:p w14:paraId="7D41AF17" w14:textId="77777777" w:rsidR="00507F68" w:rsidRDefault="00507F68" w:rsidP="00507F68">
      <w:pPr>
        <w:pStyle w:val="Default"/>
        <w:rPr>
          <w:sz w:val="20"/>
          <w:szCs w:val="20"/>
        </w:rPr>
      </w:pPr>
    </w:p>
    <w:p w14:paraId="5BE6FE37" w14:textId="77777777" w:rsidR="00507F68" w:rsidRDefault="00507F68" w:rsidP="00507F68">
      <w:pPr>
        <w:pStyle w:val="Default"/>
        <w:rPr>
          <w:sz w:val="20"/>
          <w:szCs w:val="20"/>
        </w:rPr>
      </w:pPr>
    </w:p>
    <w:p w14:paraId="47B35D5F" w14:textId="77777777" w:rsidR="00507F68" w:rsidRDefault="00507F68" w:rsidP="00507F68">
      <w:pPr>
        <w:pStyle w:val="Default"/>
        <w:rPr>
          <w:sz w:val="20"/>
          <w:szCs w:val="20"/>
        </w:rPr>
      </w:pPr>
      <w:r>
        <w:rPr>
          <w:noProof/>
          <w:sz w:val="20"/>
          <w:szCs w:val="20"/>
        </w:rPr>
        <w:lastRenderedPageBreak/>
        <w:drawing>
          <wp:inline distT="0" distB="0" distL="0" distR="0" wp14:anchorId="0884A390" wp14:editId="638377D1">
            <wp:extent cx="1885950" cy="11646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t cropped.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27196" cy="1190140"/>
                    </a:xfrm>
                    <a:prstGeom prst="rect">
                      <a:avLst/>
                    </a:prstGeom>
                  </pic:spPr>
                </pic:pic>
              </a:graphicData>
            </a:graphic>
          </wp:inline>
        </w:drawing>
      </w:r>
    </w:p>
    <w:p w14:paraId="4711D3BD" w14:textId="77777777" w:rsidR="00507F68" w:rsidRDefault="00507F68" w:rsidP="00507F68">
      <w:pPr>
        <w:pStyle w:val="Default"/>
        <w:rPr>
          <w:sz w:val="20"/>
          <w:szCs w:val="20"/>
        </w:rPr>
      </w:pPr>
    </w:p>
    <w:p w14:paraId="11F4C56A" w14:textId="77777777" w:rsidR="00507F68" w:rsidRDefault="00507F68" w:rsidP="00507F68">
      <w:pPr>
        <w:pStyle w:val="Default"/>
        <w:rPr>
          <w:sz w:val="20"/>
          <w:szCs w:val="20"/>
        </w:rPr>
      </w:pPr>
    </w:p>
    <w:p w14:paraId="76463F7B" w14:textId="77777777" w:rsidR="00507F68" w:rsidRDefault="00507F68" w:rsidP="00507F68">
      <w:pPr>
        <w:pStyle w:val="Default"/>
        <w:rPr>
          <w:sz w:val="20"/>
          <w:szCs w:val="20"/>
        </w:rPr>
      </w:pPr>
      <w:r>
        <w:rPr>
          <w:sz w:val="20"/>
          <w:szCs w:val="20"/>
        </w:rPr>
        <w:t xml:space="preserve">Pat Barry </w:t>
      </w:r>
    </w:p>
    <w:p w14:paraId="7FFE58ED" w14:textId="77777777" w:rsidR="00507F68" w:rsidRDefault="00507F68" w:rsidP="00507F68">
      <w:pPr>
        <w:pStyle w:val="Default"/>
        <w:rPr>
          <w:sz w:val="20"/>
          <w:szCs w:val="20"/>
        </w:rPr>
      </w:pPr>
    </w:p>
    <w:p w14:paraId="5BA6770E" w14:textId="77777777" w:rsidR="00507F68" w:rsidRPr="00FA4B87" w:rsidRDefault="00507F68" w:rsidP="00507F68">
      <w:pPr>
        <w:pStyle w:val="Default"/>
        <w:rPr>
          <w:sz w:val="20"/>
          <w:szCs w:val="20"/>
        </w:rPr>
      </w:pPr>
      <w:r>
        <w:rPr>
          <w:sz w:val="20"/>
          <w:szCs w:val="20"/>
        </w:rPr>
        <w:t xml:space="preserve">CEO Irish Green Building Council </w:t>
      </w:r>
    </w:p>
    <w:p w14:paraId="1C3230C6" w14:textId="77777777" w:rsidR="0026664A" w:rsidRDefault="0026664A">
      <w:bookmarkStart w:id="2" w:name="_GoBack"/>
      <w:bookmarkEnd w:id="2"/>
    </w:p>
    <w:sectPr w:rsidR="0026664A">
      <w:headerReference w:type="default" r:id="rId29"/>
      <w:footerReference w:type="defaul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GBC" w:date="2018-09-20T09:35:00Z" w:initials="I">
    <w:p w14:paraId="489162B0" w14:textId="77777777" w:rsidR="00507F68" w:rsidRDefault="00507F68" w:rsidP="00507F68">
      <w:pPr>
        <w:pStyle w:val="CommentText"/>
      </w:pPr>
      <w:r>
        <w:rPr>
          <w:rStyle w:val="CommentReference"/>
        </w:rPr>
        <w:annotationRef/>
      </w:r>
      <w:r>
        <w:rPr>
          <w:noProof/>
        </w:rPr>
        <w:t>Should we expend on this? Embodied carbon vs. energy in use for new build or do we assume they know all this?</w:t>
      </w:r>
    </w:p>
  </w:comment>
  <w:comment w:id="1" w:author="IGBC" w:date="2018-09-20T09:51:00Z" w:initials="I">
    <w:p w14:paraId="0C83DA4C" w14:textId="77777777" w:rsidR="00507F68" w:rsidRDefault="00507F68" w:rsidP="00507F68">
      <w:pPr>
        <w:pStyle w:val="CommentText"/>
      </w:pPr>
      <w:r>
        <w:rPr>
          <w:rStyle w:val="CommentReference"/>
        </w:rPr>
        <w:annotationRef/>
      </w:r>
      <w:r>
        <w:rPr>
          <w:noProof/>
        </w:rPr>
        <w:t>Can we referene this to make it easier for reader?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9162B0" w15:done="0"/>
  <w15:commentEx w15:paraId="0C83DA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9162B0" w16cid:durableId="1F4DE85D"/>
  <w16cid:commentId w16cid:paraId="0C83DA4C" w16cid:durableId="1F4DEC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3EA32" w14:textId="77777777" w:rsidR="00050769" w:rsidRDefault="00050769" w:rsidP="00507F68">
      <w:pPr>
        <w:spacing w:after="0" w:line="240" w:lineRule="auto"/>
      </w:pPr>
      <w:r>
        <w:separator/>
      </w:r>
    </w:p>
  </w:endnote>
  <w:endnote w:type="continuationSeparator" w:id="0">
    <w:p w14:paraId="40F8B56B" w14:textId="77777777" w:rsidR="00050769" w:rsidRDefault="00050769" w:rsidP="0050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FADF0" w14:textId="77777777" w:rsidR="00A84D8A" w:rsidRPr="0019199C" w:rsidRDefault="00050769" w:rsidP="00567C70">
    <w:pPr>
      <w:pStyle w:val="Footer"/>
      <w:pBdr>
        <w:top w:val="single" w:sz="4" w:space="1" w:color="auto"/>
      </w:pBdr>
      <w:jc w:val="center"/>
      <w:rPr>
        <w:rFonts w:ascii="Calibri" w:hAnsi="Calibri" w:cs="Calibri"/>
        <w:color w:val="003300"/>
        <w:sz w:val="16"/>
        <w:szCs w:val="16"/>
      </w:rPr>
    </w:pPr>
    <w:r w:rsidRPr="0019199C">
      <w:rPr>
        <w:rFonts w:ascii="Calibri" w:hAnsi="Calibri" w:cs="Calibri"/>
        <w:color w:val="003300"/>
        <w:sz w:val="16"/>
        <w:szCs w:val="16"/>
      </w:rPr>
      <w:t xml:space="preserve">Irish Green Building Council | 1st Floor, </w:t>
    </w:r>
    <w:r>
      <w:rPr>
        <w:rFonts w:ascii="Calibri" w:hAnsi="Calibri" w:cs="Calibri"/>
        <w:color w:val="003300"/>
        <w:sz w:val="16"/>
        <w:szCs w:val="16"/>
      </w:rPr>
      <w:t>19 Mountjoy Square, Dublin 1</w:t>
    </w:r>
    <w:r w:rsidRPr="0019199C">
      <w:rPr>
        <w:rFonts w:ascii="Calibri" w:hAnsi="Calibri" w:cs="Calibri"/>
        <w:color w:val="003300"/>
        <w:sz w:val="16"/>
        <w:szCs w:val="16"/>
      </w:rPr>
      <w:t xml:space="preserve"> | </w:t>
    </w:r>
    <w:r w:rsidRPr="0019199C">
      <w:rPr>
        <w:rFonts w:ascii="Calibri" w:hAnsi="Calibri" w:cs="Calibri"/>
        <w:bCs/>
        <w:color w:val="003300"/>
        <w:sz w:val="16"/>
        <w:szCs w:val="16"/>
      </w:rPr>
      <w:t>www.igbc.ie | Company No. 492948</w:t>
    </w:r>
  </w:p>
  <w:p w14:paraId="7C70BB09" w14:textId="77777777" w:rsidR="00A84D8A" w:rsidRDefault="00050769">
    <w:pPr>
      <w:pStyle w:val="Footer"/>
    </w:pPr>
  </w:p>
  <w:p w14:paraId="0BC439DD" w14:textId="77777777" w:rsidR="00A84D8A" w:rsidRDefault="00050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E1330" w14:textId="77777777" w:rsidR="00050769" w:rsidRDefault="00050769" w:rsidP="00507F68">
      <w:pPr>
        <w:spacing w:after="0" w:line="240" w:lineRule="auto"/>
      </w:pPr>
      <w:r>
        <w:separator/>
      </w:r>
    </w:p>
  </w:footnote>
  <w:footnote w:type="continuationSeparator" w:id="0">
    <w:p w14:paraId="616CB9B3" w14:textId="77777777" w:rsidR="00050769" w:rsidRDefault="00050769" w:rsidP="00507F68">
      <w:pPr>
        <w:spacing w:after="0" w:line="240" w:lineRule="auto"/>
      </w:pPr>
      <w:r>
        <w:continuationSeparator/>
      </w:r>
    </w:p>
  </w:footnote>
  <w:footnote w:id="1">
    <w:p w14:paraId="40176A91" w14:textId="77777777" w:rsidR="00507F68" w:rsidRDefault="00507F68" w:rsidP="00507F68">
      <w:pPr>
        <w:pStyle w:val="FootnoteText"/>
      </w:pPr>
      <w:r>
        <w:rPr>
          <w:rStyle w:val="FootnoteReference"/>
        </w:rPr>
        <w:footnoteRef/>
      </w:r>
      <w:r>
        <w:t xml:space="preserve"> The carbon emitted during the manufacture of products and construction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B5E2" w14:textId="77777777" w:rsidR="00A84D8A" w:rsidRDefault="00050769" w:rsidP="00567C70">
    <w:pPr>
      <w:pStyle w:val="Header"/>
      <w:jc w:val="right"/>
    </w:pPr>
    <w:r>
      <w:rPr>
        <w:noProof/>
      </w:rPr>
      <w:drawing>
        <wp:inline distT="0" distB="0" distL="0" distR="0" wp14:anchorId="4E3B166D" wp14:editId="4BD83288">
          <wp:extent cx="1838325" cy="592003"/>
          <wp:effectExtent l="0" t="0" r="0" b="0"/>
          <wp:docPr id="1" name="Picture 1" descr="IGBC new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BC new logo 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860" cy="598938"/>
                  </a:xfrm>
                  <a:prstGeom prst="rect">
                    <a:avLst/>
                  </a:prstGeom>
                  <a:noFill/>
                  <a:ln>
                    <a:noFill/>
                  </a:ln>
                </pic:spPr>
              </pic:pic>
            </a:graphicData>
          </a:graphic>
        </wp:inline>
      </w:drawing>
    </w:r>
  </w:p>
  <w:p w14:paraId="76FA76FD" w14:textId="77777777" w:rsidR="00A84D8A" w:rsidRDefault="00050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6374"/>
    <w:multiLevelType w:val="hybridMultilevel"/>
    <w:tmpl w:val="5DFC14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F2C4CE3"/>
    <w:multiLevelType w:val="hybridMultilevel"/>
    <w:tmpl w:val="C004154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GBC">
    <w15:presenceInfo w15:providerId="None" w15:userId="IG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68"/>
    <w:rsid w:val="000254CF"/>
    <w:rsid w:val="00050769"/>
    <w:rsid w:val="0007176D"/>
    <w:rsid w:val="0026664A"/>
    <w:rsid w:val="002C652C"/>
    <w:rsid w:val="00507F68"/>
    <w:rsid w:val="00683B31"/>
    <w:rsid w:val="00A858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F4852"/>
  <w15:chartTrackingRefBased/>
  <w15:docId w15:val="{B8CD8C6E-BFE4-4B03-8046-42C19F47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F68"/>
  </w:style>
  <w:style w:type="paragraph" w:styleId="Footer">
    <w:name w:val="footer"/>
    <w:basedOn w:val="Normal"/>
    <w:link w:val="FooterChar"/>
    <w:unhideWhenUsed/>
    <w:rsid w:val="00507F68"/>
    <w:pPr>
      <w:tabs>
        <w:tab w:val="center" w:pos="4513"/>
        <w:tab w:val="right" w:pos="9026"/>
      </w:tabs>
      <w:spacing w:after="0" w:line="240" w:lineRule="auto"/>
    </w:pPr>
  </w:style>
  <w:style w:type="character" w:customStyle="1" w:styleId="FooterChar">
    <w:name w:val="Footer Char"/>
    <w:basedOn w:val="DefaultParagraphFont"/>
    <w:link w:val="Footer"/>
    <w:rsid w:val="00507F68"/>
  </w:style>
  <w:style w:type="paragraph" w:styleId="ListParagraph">
    <w:name w:val="List Paragraph"/>
    <w:basedOn w:val="Normal"/>
    <w:uiPriority w:val="34"/>
    <w:qFormat/>
    <w:rsid w:val="00507F68"/>
    <w:pPr>
      <w:ind w:left="720"/>
      <w:contextualSpacing/>
    </w:pPr>
  </w:style>
  <w:style w:type="character" w:styleId="Hyperlink">
    <w:name w:val="Hyperlink"/>
    <w:basedOn w:val="DefaultParagraphFont"/>
    <w:uiPriority w:val="99"/>
    <w:unhideWhenUsed/>
    <w:rsid w:val="00507F68"/>
    <w:rPr>
      <w:color w:val="0563C1" w:themeColor="hyperlink"/>
      <w:u w:val="single"/>
    </w:rPr>
  </w:style>
  <w:style w:type="paragraph" w:customStyle="1" w:styleId="Default">
    <w:name w:val="Default"/>
    <w:rsid w:val="00507F68"/>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507F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7F68"/>
    <w:rPr>
      <w:sz w:val="20"/>
      <w:szCs w:val="20"/>
    </w:rPr>
  </w:style>
  <w:style w:type="character" w:styleId="FootnoteReference">
    <w:name w:val="footnote reference"/>
    <w:basedOn w:val="DefaultParagraphFont"/>
    <w:uiPriority w:val="99"/>
    <w:semiHidden/>
    <w:unhideWhenUsed/>
    <w:rsid w:val="00507F68"/>
    <w:rPr>
      <w:vertAlign w:val="superscript"/>
    </w:rPr>
  </w:style>
  <w:style w:type="character" w:styleId="CommentReference">
    <w:name w:val="annotation reference"/>
    <w:basedOn w:val="DefaultParagraphFont"/>
    <w:uiPriority w:val="99"/>
    <w:semiHidden/>
    <w:unhideWhenUsed/>
    <w:rsid w:val="00507F68"/>
    <w:rPr>
      <w:sz w:val="16"/>
      <w:szCs w:val="16"/>
    </w:rPr>
  </w:style>
  <w:style w:type="paragraph" w:styleId="CommentText">
    <w:name w:val="annotation text"/>
    <w:basedOn w:val="Normal"/>
    <w:link w:val="CommentTextChar"/>
    <w:uiPriority w:val="99"/>
    <w:semiHidden/>
    <w:unhideWhenUsed/>
    <w:rsid w:val="00507F68"/>
    <w:pPr>
      <w:spacing w:line="240" w:lineRule="auto"/>
    </w:pPr>
    <w:rPr>
      <w:sz w:val="20"/>
      <w:szCs w:val="20"/>
    </w:rPr>
  </w:style>
  <w:style w:type="character" w:customStyle="1" w:styleId="CommentTextChar">
    <w:name w:val="Comment Text Char"/>
    <w:basedOn w:val="DefaultParagraphFont"/>
    <w:link w:val="CommentText"/>
    <w:uiPriority w:val="99"/>
    <w:semiHidden/>
    <w:rsid w:val="00507F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ldupon.eu/ireland" TargetMode="External"/><Relationship Id="rId13" Type="http://schemas.openxmlformats.org/officeDocument/2006/relationships/hyperlink" Target="http://homeperformanceindex.ie/" TargetMode="External"/><Relationship Id="rId18" Type="http://schemas.microsoft.com/office/2016/09/relationships/commentsIds" Target="commentsIds.xml"/><Relationship Id="rId26" Type="http://schemas.openxmlformats.org/officeDocument/2006/relationships/hyperlink" Target="http://www.homeperformanceindex.ie" TargetMode="External"/><Relationship Id="rId3" Type="http://schemas.openxmlformats.org/officeDocument/2006/relationships/settings" Target="settings.xml"/><Relationship Id="rId21" Type="http://schemas.openxmlformats.org/officeDocument/2006/relationships/hyperlink" Target="http://www.epdireland.org" TargetMode="External"/><Relationship Id="rId7" Type="http://schemas.openxmlformats.org/officeDocument/2006/relationships/hyperlink" Target="https://www.igbc.ie/membership/members/" TargetMode="External"/><Relationship Id="rId12" Type="http://schemas.openxmlformats.org/officeDocument/2006/relationships/hyperlink" Target="https://www.igbc.ie/wp-content/uploads/2018/07/JointLetter_ACEI_EI_IGBC_RIAI_SCSI_Final.pdf" TargetMode="External"/><Relationship Id="rId17" Type="http://schemas.microsoft.com/office/2011/relationships/commentsExtended" Target="commentsExtended.xml"/><Relationship Id="rId25" Type="http://schemas.openxmlformats.org/officeDocument/2006/relationships/hyperlink" Target="https://ec.europa.eu/info/business-economy-euro/banking-and-finance/sustainable-finance_e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yperlink" Target="https://www.oneclicklca.com/embodied-carbon-reduction-in-construction/"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gbc.ie/policy-and-regulation/renovation-strategies/eccopro-environmental-certification-construction-professionals/" TargetMode="External"/><Relationship Id="rId24" Type="http://schemas.openxmlformats.org/officeDocument/2006/relationships/hyperlink" Target="https://www.scsi.ie/documents/get_lob?id=1338&amp;field=file"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renovate-europe.eu/" TargetMode="External"/><Relationship Id="rId23" Type="http://schemas.openxmlformats.org/officeDocument/2006/relationships/hyperlink" Target="https://www.housing.gov.ie/housing/building-standards/building-regulations/public-consultation-draft-bringing-back-homes-manual" TargetMode="External"/><Relationship Id="rId28" Type="http://schemas.openxmlformats.org/officeDocument/2006/relationships/image" Target="media/image1.jpeg"/><Relationship Id="rId10" Type="http://schemas.openxmlformats.org/officeDocument/2006/relationships/hyperlink" Target="http://energyefficientmortgages.eu/" TargetMode="External"/><Relationship Id="rId19" Type="http://schemas.openxmlformats.org/officeDocument/2006/relationships/hyperlink" Target="https://www.igbc.ie/resources/towards-a-circular-economy-in-constructio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gbc.ie/wp-content/uploads/2017/03/IGBC-BUILD-Upon-Final-Web-24.02.17-1.pdf" TargetMode="External"/><Relationship Id="rId14" Type="http://schemas.openxmlformats.org/officeDocument/2006/relationships/hyperlink" Target="http://www.worldgbc.org/" TargetMode="External"/><Relationship Id="rId22" Type="http://schemas.openxmlformats.org/officeDocument/2006/relationships/hyperlink" Target="http://homeperformanceindex.ie/find-a-home/silken-park-3/" TargetMode="External"/><Relationship Id="rId27" Type="http://schemas.openxmlformats.org/officeDocument/2006/relationships/hyperlink" Target="http://homeperformanceindex.i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IGBC</dc:creator>
  <cp:keywords/>
  <dc:description/>
  <cp:lastModifiedBy>IGBC</cp:lastModifiedBy>
  <cp:revision>1</cp:revision>
  <dcterms:created xsi:type="dcterms:W3CDTF">2018-09-20T11:50:00Z</dcterms:created>
  <dcterms:modified xsi:type="dcterms:W3CDTF">2018-09-20T11:51:00Z</dcterms:modified>
</cp:coreProperties>
</file>